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7A5DBE" w14:textId="38326903" w:rsidR="00762CEB" w:rsidRPr="00EF27F0" w:rsidRDefault="00762CEB" w:rsidP="00762CEB">
      <w:pPr>
        <w:tabs>
          <w:tab w:val="clear" w:pos="708"/>
        </w:tabs>
        <w:suppressAutoHyphens w:val="0"/>
        <w:spacing w:line="259" w:lineRule="auto"/>
        <w:rPr>
          <w:b/>
        </w:rPr>
      </w:pPr>
    </w:p>
    <w:p w14:paraId="00F3627F" w14:textId="49C1451C" w:rsidR="00762CEB" w:rsidRPr="00EF27F0" w:rsidRDefault="00762CEB" w:rsidP="00762CEB">
      <w:pPr>
        <w:tabs>
          <w:tab w:val="clear" w:pos="708"/>
        </w:tabs>
        <w:suppressAutoHyphens w:val="0"/>
        <w:spacing w:line="276" w:lineRule="auto"/>
        <w:rPr>
          <w:b/>
        </w:rPr>
      </w:pPr>
    </w:p>
    <w:p w14:paraId="16851B71" w14:textId="77777777" w:rsidR="00762CEB" w:rsidRPr="00EF27F0" w:rsidRDefault="00762CEB" w:rsidP="00762CEB">
      <w:pPr>
        <w:tabs>
          <w:tab w:val="clear" w:pos="708"/>
        </w:tabs>
        <w:suppressAutoHyphens w:val="0"/>
        <w:spacing w:line="276" w:lineRule="auto"/>
        <w:rPr>
          <w:b/>
        </w:rPr>
      </w:pPr>
    </w:p>
    <w:p w14:paraId="39FE8144" w14:textId="33BCE4A0" w:rsidR="00762CEB" w:rsidRPr="00EF27F0" w:rsidRDefault="00762CEB" w:rsidP="00762CEB">
      <w:pPr>
        <w:tabs>
          <w:tab w:val="clear" w:pos="708"/>
        </w:tabs>
        <w:suppressAutoHyphens w:val="0"/>
        <w:spacing w:line="276" w:lineRule="auto"/>
        <w:jc w:val="center"/>
        <w:rPr>
          <w:b/>
        </w:rPr>
      </w:pPr>
      <w:r w:rsidRPr="00EF27F0">
        <w:rPr>
          <w:b/>
        </w:rPr>
        <w:t>UNIVERZITET U TUZLI</w:t>
      </w:r>
    </w:p>
    <w:p w14:paraId="709B9A06" w14:textId="40BAB7CE" w:rsidR="00762CEB" w:rsidRPr="00EF27F0" w:rsidRDefault="00762CEB" w:rsidP="00762CEB">
      <w:pPr>
        <w:tabs>
          <w:tab w:val="clear" w:pos="708"/>
        </w:tabs>
        <w:suppressAutoHyphens w:val="0"/>
        <w:spacing w:line="276" w:lineRule="auto"/>
        <w:jc w:val="center"/>
        <w:rPr>
          <w:b/>
        </w:rPr>
      </w:pPr>
      <w:r w:rsidRPr="00EF27F0">
        <w:rPr>
          <w:b/>
        </w:rPr>
        <w:t>FILOZOFSKI FAKULTET</w:t>
      </w:r>
    </w:p>
    <w:p w14:paraId="562A2823" w14:textId="14AA9688" w:rsidR="00762CEB" w:rsidRPr="00EF27F0" w:rsidRDefault="00762CEB" w:rsidP="00762CEB">
      <w:pPr>
        <w:tabs>
          <w:tab w:val="clear" w:pos="708"/>
        </w:tabs>
        <w:suppressAutoHyphens w:val="0"/>
        <w:spacing w:line="276" w:lineRule="auto"/>
        <w:jc w:val="center"/>
        <w:rPr>
          <w:b/>
        </w:rPr>
      </w:pPr>
      <w:r w:rsidRPr="00EF27F0">
        <w:rPr>
          <w:b/>
        </w:rPr>
        <w:t>ODSJEK ZA HISTORIJU</w:t>
      </w:r>
    </w:p>
    <w:p w14:paraId="0AF7021B" w14:textId="4F31CC07" w:rsidR="00762CEB" w:rsidRPr="00EF27F0" w:rsidRDefault="00762CEB" w:rsidP="00762CEB">
      <w:pPr>
        <w:tabs>
          <w:tab w:val="clear" w:pos="708"/>
        </w:tabs>
        <w:suppressAutoHyphens w:val="0"/>
        <w:spacing w:line="276" w:lineRule="auto"/>
        <w:rPr>
          <w:b/>
        </w:rPr>
      </w:pPr>
    </w:p>
    <w:p w14:paraId="446D1809" w14:textId="0B7A707B" w:rsidR="00762CEB" w:rsidRPr="00EF27F0" w:rsidRDefault="00762CEB" w:rsidP="00762CEB">
      <w:pPr>
        <w:tabs>
          <w:tab w:val="clear" w:pos="708"/>
        </w:tabs>
        <w:suppressAutoHyphens w:val="0"/>
        <w:spacing w:line="276" w:lineRule="auto"/>
        <w:rPr>
          <w:b/>
        </w:rPr>
      </w:pPr>
    </w:p>
    <w:p w14:paraId="7339DB86" w14:textId="0DA79067" w:rsidR="00762CEB" w:rsidRPr="00EF27F0" w:rsidRDefault="00762CEB" w:rsidP="00762CEB">
      <w:pPr>
        <w:tabs>
          <w:tab w:val="clear" w:pos="708"/>
        </w:tabs>
        <w:suppressAutoHyphens w:val="0"/>
        <w:spacing w:line="276" w:lineRule="auto"/>
        <w:rPr>
          <w:b/>
        </w:rPr>
      </w:pPr>
    </w:p>
    <w:p w14:paraId="705B8878" w14:textId="028F679F" w:rsidR="00762CEB" w:rsidRPr="00EF27F0" w:rsidRDefault="00762CEB" w:rsidP="00762CEB">
      <w:pPr>
        <w:tabs>
          <w:tab w:val="clear" w:pos="708"/>
        </w:tabs>
        <w:suppressAutoHyphens w:val="0"/>
        <w:spacing w:line="276" w:lineRule="auto"/>
        <w:rPr>
          <w:b/>
        </w:rPr>
      </w:pPr>
    </w:p>
    <w:p w14:paraId="5286F456" w14:textId="1E585C37" w:rsidR="00762CEB" w:rsidRPr="00EF27F0" w:rsidRDefault="00762CEB" w:rsidP="00762CEB">
      <w:pPr>
        <w:tabs>
          <w:tab w:val="clear" w:pos="708"/>
        </w:tabs>
        <w:suppressAutoHyphens w:val="0"/>
        <w:spacing w:line="276" w:lineRule="auto"/>
        <w:rPr>
          <w:b/>
        </w:rPr>
      </w:pPr>
    </w:p>
    <w:p w14:paraId="3ED673B6" w14:textId="77777777" w:rsidR="00762CEB" w:rsidRPr="00EF27F0" w:rsidRDefault="00762CEB" w:rsidP="00762CEB">
      <w:pPr>
        <w:tabs>
          <w:tab w:val="clear" w:pos="708"/>
        </w:tabs>
        <w:suppressAutoHyphens w:val="0"/>
        <w:spacing w:line="276" w:lineRule="auto"/>
        <w:rPr>
          <w:b/>
        </w:rPr>
      </w:pPr>
    </w:p>
    <w:p w14:paraId="38C95039" w14:textId="77777777" w:rsidR="00762CEB" w:rsidRPr="00EF27F0" w:rsidRDefault="00762CEB" w:rsidP="00762CEB">
      <w:pPr>
        <w:tabs>
          <w:tab w:val="clear" w:pos="708"/>
        </w:tabs>
        <w:suppressAutoHyphens w:val="0"/>
        <w:spacing w:line="276" w:lineRule="auto"/>
        <w:rPr>
          <w:b/>
        </w:rPr>
      </w:pPr>
    </w:p>
    <w:p w14:paraId="59A41F18" w14:textId="32093326" w:rsidR="00762CEB" w:rsidRPr="00EF27F0" w:rsidRDefault="00762CEB" w:rsidP="00762CEB">
      <w:pPr>
        <w:tabs>
          <w:tab w:val="clear" w:pos="708"/>
        </w:tabs>
        <w:suppressAutoHyphens w:val="0"/>
        <w:spacing w:line="276" w:lineRule="auto"/>
        <w:jc w:val="center"/>
        <w:rPr>
          <w:b/>
        </w:rPr>
      </w:pPr>
      <w:r w:rsidRPr="00EF27F0">
        <w:rPr>
          <w:b/>
        </w:rPr>
        <w:t>II CIKLUS STUDIJA</w:t>
      </w:r>
    </w:p>
    <w:p w14:paraId="613CCAD9" w14:textId="25FBFC2B" w:rsidR="00762CEB" w:rsidRPr="00EF27F0" w:rsidRDefault="00762CEB" w:rsidP="00762CEB">
      <w:pPr>
        <w:tabs>
          <w:tab w:val="clear" w:pos="708"/>
        </w:tabs>
        <w:suppressAutoHyphens w:val="0"/>
        <w:spacing w:line="276" w:lineRule="auto"/>
        <w:jc w:val="center"/>
        <w:rPr>
          <w:b/>
        </w:rPr>
      </w:pPr>
      <w:r w:rsidRPr="00EF27F0">
        <w:rPr>
          <w:b/>
        </w:rPr>
        <w:t>STUDIJSKI PROGRAM</w:t>
      </w:r>
    </w:p>
    <w:p w14:paraId="4F05BC69" w14:textId="1E17621E" w:rsidR="00762CEB" w:rsidRPr="00EF27F0" w:rsidRDefault="00762CEB" w:rsidP="00762CEB">
      <w:pPr>
        <w:tabs>
          <w:tab w:val="clear" w:pos="708"/>
        </w:tabs>
        <w:suppressAutoHyphens w:val="0"/>
        <w:spacing w:line="276" w:lineRule="auto"/>
        <w:jc w:val="center"/>
        <w:rPr>
          <w:b/>
          <w:sz w:val="32"/>
          <w:szCs w:val="32"/>
        </w:rPr>
      </w:pPr>
      <w:r w:rsidRPr="00EF27F0">
        <w:rPr>
          <w:b/>
          <w:sz w:val="32"/>
          <w:szCs w:val="32"/>
        </w:rPr>
        <w:t>HISTORIJA BOSNE I HERCEGOVINE</w:t>
      </w:r>
    </w:p>
    <w:p w14:paraId="021BD059" w14:textId="39060ECB" w:rsidR="00762CEB" w:rsidRPr="00EF27F0" w:rsidRDefault="00762CEB" w:rsidP="00762CEB">
      <w:pPr>
        <w:tabs>
          <w:tab w:val="clear" w:pos="708"/>
        </w:tabs>
        <w:suppressAutoHyphens w:val="0"/>
        <w:spacing w:line="276" w:lineRule="auto"/>
        <w:jc w:val="center"/>
        <w:rPr>
          <w:b/>
        </w:rPr>
      </w:pPr>
      <w:r w:rsidRPr="00EF27F0">
        <w:rPr>
          <w:b/>
        </w:rPr>
        <w:t>U PRIMJENI OD AK. 2023/24.</w:t>
      </w:r>
    </w:p>
    <w:p w14:paraId="28440335" w14:textId="543BD235" w:rsidR="00762CEB" w:rsidRPr="00EF27F0" w:rsidRDefault="00762CEB" w:rsidP="00762CEB">
      <w:pPr>
        <w:tabs>
          <w:tab w:val="clear" w:pos="708"/>
        </w:tabs>
        <w:suppressAutoHyphens w:val="0"/>
        <w:spacing w:line="276" w:lineRule="auto"/>
        <w:rPr>
          <w:b/>
        </w:rPr>
      </w:pPr>
    </w:p>
    <w:p w14:paraId="15FC1FD0" w14:textId="045D18E7" w:rsidR="00762CEB" w:rsidRPr="00EF27F0" w:rsidRDefault="00762CEB" w:rsidP="00762CEB">
      <w:pPr>
        <w:tabs>
          <w:tab w:val="clear" w:pos="708"/>
        </w:tabs>
        <w:suppressAutoHyphens w:val="0"/>
        <w:spacing w:line="259" w:lineRule="auto"/>
        <w:rPr>
          <w:b/>
        </w:rPr>
      </w:pPr>
    </w:p>
    <w:p w14:paraId="0290FB16" w14:textId="0EFD3211" w:rsidR="00762CEB" w:rsidRPr="00EF27F0" w:rsidRDefault="00762CEB" w:rsidP="00762CEB">
      <w:pPr>
        <w:tabs>
          <w:tab w:val="clear" w:pos="708"/>
        </w:tabs>
        <w:suppressAutoHyphens w:val="0"/>
        <w:spacing w:line="259" w:lineRule="auto"/>
        <w:rPr>
          <w:b/>
        </w:rPr>
      </w:pPr>
    </w:p>
    <w:p w14:paraId="22767D10" w14:textId="36A892D9" w:rsidR="00762CEB" w:rsidRPr="00EF27F0" w:rsidRDefault="00762CEB" w:rsidP="00762CEB">
      <w:pPr>
        <w:tabs>
          <w:tab w:val="clear" w:pos="708"/>
        </w:tabs>
        <w:suppressAutoHyphens w:val="0"/>
        <w:spacing w:line="259" w:lineRule="auto"/>
        <w:rPr>
          <w:b/>
        </w:rPr>
      </w:pPr>
    </w:p>
    <w:p w14:paraId="7C1665F8" w14:textId="4421DCC4" w:rsidR="00762CEB" w:rsidRPr="00EF27F0" w:rsidRDefault="00762CEB" w:rsidP="00762CEB">
      <w:pPr>
        <w:tabs>
          <w:tab w:val="clear" w:pos="708"/>
        </w:tabs>
        <w:suppressAutoHyphens w:val="0"/>
        <w:spacing w:line="259" w:lineRule="auto"/>
        <w:rPr>
          <w:b/>
        </w:rPr>
      </w:pPr>
    </w:p>
    <w:p w14:paraId="621F2843" w14:textId="6058831B" w:rsidR="00762CEB" w:rsidRPr="00EF27F0" w:rsidRDefault="00762CEB" w:rsidP="00762CEB">
      <w:pPr>
        <w:tabs>
          <w:tab w:val="clear" w:pos="708"/>
        </w:tabs>
        <w:suppressAutoHyphens w:val="0"/>
        <w:spacing w:line="259" w:lineRule="auto"/>
        <w:rPr>
          <w:b/>
        </w:rPr>
      </w:pPr>
    </w:p>
    <w:p w14:paraId="3EAA8ACF" w14:textId="2F9C0589" w:rsidR="00762CEB" w:rsidRPr="00EF27F0" w:rsidRDefault="00762CEB" w:rsidP="00762CEB">
      <w:pPr>
        <w:tabs>
          <w:tab w:val="clear" w:pos="708"/>
        </w:tabs>
        <w:suppressAutoHyphens w:val="0"/>
        <w:spacing w:line="259" w:lineRule="auto"/>
        <w:rPr>
          <w:b/>
        </w:rPr>
      </w:pPr>
    </w:p>
    <w:p w14:paraId="0F8D268C" w14:textId="350C912B" w:rsidR="00762CEB" w:rsidRPr="00EF27F0" w:rsidRDefault="00762CEB" w:rsidP="00762CEB">
      <w:pPr>
        <w:tabs>
          <w:tab w:val="clear" w:pos="708"/>
        </w:tabs>
        <w:suppressAutoHyphens w:val="0"/>
        <w:spacing w:line="259" w:lineRule="auto"/>
        <w:rPr>
          <w:b/>
        </w:rPr>
      </w:pPr>
    </w:p>
    <w:p w14:paraId="3E29DCF6" w14:textId="670EA800" w:rsidR="00762CEB" w:rsidRPr="00EF27F0" w:rsidRDefault="00762CEB" w:rsidP="00762CEB">
      <w:pPr>
        <w:tabs>
          <w:tab w:val="clear" w:pos="708"/>
        </w:tabs>
        <w:suppressAutoHyphens w:val="0"/>
        <w:spacing w:line="259" w:lineRule="auto"/>
        <w:rPr>
          <w:b/>
        </w:rPr>
      </w:pPr>
    </w:p>
    <w:p w14:paraId="384FF1A6" w14:textId="6DF64B7D" w:rsidR="00762CEB" w:rsidRPr="00EF27F0" w:rsidRDefault="00762CEB" w:rsidP="00762CEB">
      <w:pPr>
        <w:tabs>
          <w:tab w:val="clear" w:pos="708"/>
        </w:tabs>
        <w:suppressAutoHyphens w:val="0"/>
        <w:spacing w:line="259" w:lineRule="auto"/>
        <w:rPr>
          <w:b/>
        </w:rPr>
      </w:pPr>
    </w:p>
    <w:p w14:paraId="1CBAE09D" w14:textId="4847B795" w:rsidR="00762CEB" w:rsidRPr="00EF27F0" w:rsidRDefault="00762CEB" w:rsidP="00762CEB">
      <w:pPr>
        <w:tabs>
          <w:tab w:val="clear" w:pos="708"/>
        </w:tabs>
        <w:suppressAutoHyphens w:val="0"/>
        <w:spacing w:line="259" w:lineRule="auto"/>
        <w:rPr>
          <w:b/>
        </w:rPr>
      </w:pPr>
    </w:p>
    <w:p w14:paraId="025AB316" w14:textId="6C95124E" w:rsidR="00762CEB" w:rsidRPr="00EF27F0" w:rsidRDefault="00762CEB" w:rsidP="00762CEB">
      <w:pPr>
        <w:tabs>
          <w:tab w:val="clear" w:pos="708"/>
        </w:tabs>
        <w:suppressAutoHyphens w:val="0"/>
        <w:spacing w:line="259" w:lineRule="auto"/>
        <w:rPr>
          <w:b/>
        </w:rPr>
      </w:pPr>
    </w:p>
    <w:p w14:paraId="2DEC26D6" w14:textId="579AAAE5" w:rsidR="00762CEB" w:rsidRPr="00EF27F0" w:rsidRDefault="00762CEB" w:rsidP="00762CEB">
      <w:pPr>
        <w:tabs>
          <w:tab w:val="clear" w:pos="708"/>
        </w:tabs>
        <w:suppressAutoHyphens w:val="0"/>
        <w:spacing w:line="259" w:lineRule="auto"/>
        <w:rPr>
          <w:b/>
        </w:rPr>
      </w:pPr>
    </w:p>
    <w:p w14:paraId="639AF426" w14:textId="4A95314B" w:rsidR="00762CEB" w:rsidRPr="00EF27F0" w:rsidRDefault="00762CEB" w:rsidP="00762CEB">
      <w:pPr>
        <w:tabs>
          <w:tab w:val="clear" w:pos="708"/>
        </w:tabs>
        <w:suppressAutoHyphens w:val="0"/>
        <w:spacing w:line="259" w:lineRule="auto"/>
        <w:rPr>
          <w:b/>
        </w:rPr>
      </w:pPr>
    </w:p>
    <w:p w14:paraId="5890DBC4" w14:textId="484BE005" w:rsidR="00762CEB" w:rsidRPr="00EF27F0" w:rsidRDefault="00762CEB" w:rsidP="00762CEB">
      <w:pPr>
        <w:tabs>
          <w:tab w:val="clear" w:pos="708"/>
        </w:tabs>
        <w:suppressAutoHyphens w:val="0"/>
        <w:spacing w:line="259" w:lineRule="auto"/>
        <w:rPr>
          <w:b/>
        </w:rPr>
      </w:pPr>
    </w:p>
    <w:p w14:paraId="21DDF649" w14:textId="0A670BC2" w:rsidR="00762CEB" w:rsidRPr="00EF27F0" w:rsidRDefault="00762CEB" w:rsidP="00762CEB">
      <w:pPr>
        <w:tabs>
          <w:tab w:val="clear" w:pos="708"/>
        </w:tabs>
        <w:suppressAutoHyphens w:val="0"/>
        <w:spacing w:line="259" w:lineRule="auto"/>
        <w:rPr>
          <w:b/>
        </w:rPr>
      </w:pPr>
    </w:p>
    <w:p w14:paraId="2E3AC614" w14:textId="1FCDB460" w:rsidR="00762CEB" w:rsidRPr="00EF27F0" w:rsidRDefault="00762CEB" w:rsidP="00762CEB">
      <w:pPr>
        <w:tabs>
          <w:tab w:val="clear" w:pos="708"/>
        </w:tabs>
        <w:suppressAutoHyphens w:val="0"/>
        <w:spacing w:line="259" w:lineRule="auto"/>
        <w:rPr>
          <w:b/>
        </w:rPr>
      </w:pPr>
    </w:p>
    <w:p w14:paraId="318D88D0" w14:textId="1DC66769" w:rsidR="00762CEB" w:rsidRPr="00EF27F0" w:rsidRDefault="00762CEB" w:rsidP="00762CEB">
      <w:pPr>
        <w:tabs>
          <w:tab w:val="clear" w:pos="708"/>
        </w:tabs>
        <w:suppressAutoHyphens w:val="0"/>
        <w:spacing w:line="259" w:lineRule="auto"/>
        <w:rPr>
          <w:b/>
        </w:rPr>
      </w:pPr>
    </w:p>
    <w:p w14:paraId="5F79E46F" w14:textId="623D667D" w:rsidR="00762CEB" w:rsidRPr="00EF27F0" w:rsidRDefault="00762CEB" w:rsidP="00762CEB">
      <w:pPr>
        <w:tabs>
          <w:tab w:val="clear" w:pos="708"/>
        </w:tabs>
        <w:suppressAutoHyphens w:val="0"/>
        <w:spacing w:line="259" w:lineRule="auto"/>
        <w:rPr>
          <w:b/>
        </w:rPr>
      </w:pPr>
    </w:p>
    <w:p w14:paraId="6891C663" w14:textId="3B74C345" w:rsidR="00762CEB" w:rsidRPr="00EF27F0" w:rsidRDefault="00762CEB" w:rsidP="00762CEB">
      <w:pPr>
        <w:tabs>
          <w:tab w:val="clear" w:pos="708"/>
        </w:tabs>
        <w:suppressAutoHyphens w:val="0"/>
        <w:spacing w:line="259" w:lineRule="auto"/>
        <w:rPr>
          <w:b/>
        </w:rPr>
      </w:pPr>
    </w:p>
    <w:p w14:paraId="0973F8D9" w14:textId="411E5AF3" w:rsidR="00762CEB" w:rsidRPr="00EF27F0" w:rsidRDefault="00762CEB" w:rsidP="00762CEB">
      <w:pPr>
        <w:tabs>
          <w:tab w:val="clear" w:pos="708"/>
        </w:tabs>
        <w:suppressAutoHyphens w:val="0"/>
        <w:spacing w:line="259" w:lineRule="auto"/>
        <w:rPr>
          <w:b/>
        </w:rPr>
      </w:pPr>
    </w:p>
    <w:p w14:paraId="4493E602" w14:textId="77777777" w:rsidR="00762CEB" w:rsidRPr="00EF27F0" w:rsidRDefault="00762CEB" w:rsidP="00762CEB">
      <w:pPr>
        <w:tabs>
          <w:tab w:val="clear" w:pos="708"/>
        </w:tabs>
        <w:suppressAutoHyphens w:val="0"/>
        <w:spacing w:line="259" w:lineRule="auto"/>
        <w:rPr>
          <w:b/>
        </w:rPr>
      </w:pPr>
    </w:p>
    <w:p w14:paraId="7865FCB2" w14:textId="7B9C42C1" w:rsidR="00762CEB" w:rsidRPr="00EF27F0" w:rsidRDefault="00762CEB" w:rsidP="00762CEB">
      <w:pPr>
        <w:tabs>
          <w:tab w:val="clear" w:pos="708"/>
        </w:tabs>
        <w:suppressAutoHyphens w:val="0"/>
        <w:spacing w:line="259" w:lineRule="auto"/>
        <w:rPr>
          <w:b/>
        </w:rPr>
      </w:pPr>
    </w:p>
    <w:p w14:paraId="34B9DD53" w14:textId="596C92B1" w:rsidR="00762CEB" w:rsidRPr="00EF27F0" w:rsidRDefault="00762CEB" w:rsidP="00762CEB">
      <w:pPr>
        <w:tabs>
          <w:tab w:val="clear" w:pos="708"/>
        </w:tabs>
        <w:suppressAutoHyphens w:val="0"/>
        <w:spacing w:line="259" w:lineRule="auto"/>
        <w:rPr>
          <w:b/>
        </w:rPr>
      </w:pPr>
    </w:p>
    <w:p w14:paraId="35446C77" w14:textId="1D01D4BE" w:rsidR="00762CEB" w:rsidRPr="00EF27F0" w:rsidRDefault="00762CEB" w:rsidP="00762CEB">
      <w:pPr>
        <w:tabs>
          <w:tab w:val="clear" w:pos="708"/>
        </w:tabs>
        <w:suppressAutoHyphens w:val="0"/>
        <w:spacing w:line="259" w:lineRule="auto"/>
        <w:rPr>
          <w:b/>
        </w:rPr>
      </w:pPr>
    </w:p>
    <w:p w14:paraId="6A4B49BF" w14:textId="33637AB4" w:rsidR="00762CEB" w:rsidRPr="00EF27F0" w:rsidRDefault="00762CEB" w:rsidP="00762CEB">
      <w:pPr>
        <w:tabs>
          <w:tab w:val="clear" w:pos="708"/>
        </w:tabs>
        <w:suppressAutoHyphens w:val="0"/>
        <w:spacing w:line="259" w:lineRule="auto"/>
        <w:jc w:val="center"/>
        <w:rPr>
          <w:b/>
        </w:rPr>
      </w:pPr>
      <w:r w:rsidRPr="00EF27F0">
        <w:rPr>
          <w:b/>
        </w:rPr>
        <w:t>TUZLA, 2023.</w:t>
      </w:r>
    </w:p>
    <w:p w14:paraId="4120D402" w14:textId="23721F68" w:rsidR="00762CEB" w:rsidRPr="00EF27F0" w:rsidRDefault="00762CEB" w:rsidP="00762CEB">
      <w:pPr>
        <w:tabs>
          <w:tab w:val="clear" w:pos="708"/>
        </w:tabs>
        <w:suppressAutoHyphens w:val="0"/>
        <w:spacing w:line="259" w:lineRule="auto"/>
        <w:rPr>
          <w:b/>
        </w:rPr>
      </w:pPr>
    </w:p>
    <w:p w14:paraId="403E53F2" w14:textId="0FDEEEC3" w:rsidR="00280DCA" w:rsidRPr="00EF27F0" w:rsidRDefault="00280DCA" w:rsidP="00762CEB">
      <w:pPr>
        <w:pStyle w:val="ListParagraph"/>
        <w:numPr>
          <w:ilvl w:val="0"/>
          <w:numId w:val="1"/>
        </w:numPr>
        <w:suppressAutoHyphens w:val="0"/>
        <w:spacing w:before="28" w:line="360" w:lineRule="auto"/>
        <w:jc w:val="both"/>
      </w:pPr>
      <w:r w:rsidRPr="00EF27F0">
        <w:rPr>
          <w:b/>
        </w:rPr>
        <w:lastRenderedPageBreak/>
        <w:t>OPĆI DIO</w:t>
      </w:r>
    </w:p>
    <w:p w14:paraId="32272F2D" w14:textId="77777777" w:rsidR="00280DCA" w:rsidRPr="00EF27F0" w:rsidRDefault="00280DCA" w:rsidP="00762CEB">
      <w:pPr>
        <w:pStyle w:val="ListParagraph"/>
        <w:suppressAutoHyphens w:val="0"/>
        <w:spacing w:before="28" w:line="360" w:lineRule="auto"/>
        <w:jc w:val="both"/>
      </w:pPr>
    </w:p>
    <w:p w14:paraId="24499708" w14:textId="77777777" w:rsidR="00280DCA" w:rsidRPr="00EF27F0" w:rsidRDefault="00280DCA" w:rsidP="00762CEB">
      <w:pPr>
        <w:pStyle w:val="ListParagraph"/>
        <w:numPr>
          <w:ilvl w:val="1"/>
          <w:numId w:val="1"/>
        </w:numPr>
        <w:suppressAutoHyphens w:val="0"/>
        <w:spacing w:before="28" w:line="360" w:lineRule="auto"/>
        <w:jc w:val="both"/>
      </w:pPr>
      <w:r w:rsidRPr="00EF27F0">
        <w:rPr>
          <w:b/>
        </w:rPr>
        <w:t xml:space="preserve"> Naziv i nosilac studijskog programa</w:t>
      </w:r>
    </w:p>
    <w:p w14:paraId="3633E4E6" w14:textId="77777777" w:rsidR="00280DCA" w:rsidRPr="00EF27F0" w:rsidRDefault="00280DCA" w:rsidP="00762CEB">
      <w:pPr>
        <w:pStyle w:val="ListParagraph"/>
        <w:suppressAutoHyphens w:val="0"/>
        <w:spacing w:before="28" w:line="360" w:lineRule="auto"/>
        <w:jc w:val="both"/>
      </w:pPr>
    </w:p>
    <w:p w14:paraId="7FE120F8" w14:textId="7325D071" w:rsidR="00280DCA" w:rsidRPr="00EF27F0" w:rsidRDefault="00280DCA" w:rsidP="00762CEB">
      <w:pPr>
        <w:keepNext/>
        <w:keepLines/>
        <w:widowControl w:val="0"/>
        <w:suppressAutoHyphens w:val="0"/>
        <w:spacing w:before="28" w:line="360" w:lineRule="auto"/>
        <w:ind w:left="941" w:hanging="363"/>
        <w:jc w:val="both"/>
      </w:pPr>
      <w:bookmarkStart w:id="0" w:name="bookmark6"/>
      <w:r w:rsidRPr="00EF27F0">
        <w:rPr>
          <w:bCs/>
          <w:lang w:val="hr-HR" w:eastAsia="hr-HR"/>
        </w:rPr>
        <w:t xml:space="preserve">Naziv studijskog programa: </w:t>
      </w:r>
      <w:bookmarkEnd w:id="0"/>
      <w:r w:rsidR="00762CEB" w:rsidRPr="00EF27F0">
        <w:rPr>
          <w:b/>
          <w:bCs/>
          <w:lang w:val="hr-HR" w:eastAsia="hr-HR"/>
        </w:rPr>
        <w:t>Historija Bosne i Hercegovine</w:t>
      </w:r>
    </w:p>
    <w:p w14:paraId="7ABACCFD" w14:textId="77777777" w:rsidR="00280DCA" w:rsidRPr="00EF27F0" w:rsidRDefault="00280DCA" w:rsidP="00762CEB">
      <w:pPr>
        <w:keepNext/>
        <w:keepLines/>
        <w:widowControl w:val="0"/>
        <w:suppressAutoHyphens w:val="0"/>
        <w:spacing w:before="28" w:line="360" w:lineRule="auto"/>
        <w:ind w:left="941" w:hanging="363"/>
        <w:jc w:val="both"/>
      </w:pPr>
      <w:r w:rsidRPr="00EF27F0">
        <w:rPr>
          <w:bCs/>
          <w:lang w:val="hr-HR" w:eastAsia="hr-HR"/>
        </w:rPr>
        <w:t xml:space="preserve">Nosilac studijskog programa: </w:t>
      </w:r>
      <w:r w:rsidRPr="00EF27F0">
        <w:rPr>
          <w:b/>
          <w:bCs/>
          <w:lang w:val="hr-HR" w:eastAsia="hr-HR"/>
        </w:rPr>
        <w:t>Univerzitet u Tuzli, Filozofski fakultet</w:t>
      </w:r>
    </w:p>
    <w:p w14:paraId="6B5712B3" w14:textId="77777777" w:rsidR="00280DCA" w:rsidRPr="00EF27F0" w:rsidRDefault="00280DCA" w:rsidP="00762CEB">
      <w:pPr>
        <w:suppressAutoHyphens w:val="0"/>
        <w:spacing w:before="28" w:line="360" w:lineRule="auto"/>
        <w:ind w:left="360"/>
        <w:jc w:val="both"/>
      </w:pPr>
    </w:p>
    <w:p w14:paraId="0675428F" w14:textId="77777777" w:rsidR="00280DCA" w:rsidRPr="00EF27F0" w:rsidRDefault="00280DCA" w:rsidP="00762CEB">
      <w:pPr>
        <w:pStyle w:val="ListParagraph"/>
        <w:numPr>
          <w:ilvl w:val="1"/>
          <w:numId w:val="1"/>
        </w:numPr>
        <w:suppressAutoHyphens w:val="0"/>
        <w:spacing w:before="28" w:line="360" w:lineRule="auto"/>
        <w:jc w:val="both"/>
      </w:pPr>
      <w:r w:rsidRPr="00EF27F0">
        <w:rPr>
          <w:b/>
        </w:rPr>
        <w:t xml:space="preserve"> Način izvođenja nastave i nivo studijskog programa</w:t>
      </w:r>
    </w:p>
    <w:p w14:paraId="5B872038" w14:textId="77777777" w:rsidR="00280DCA" w:rsidRPr="00EF27F0" w:rsidRDefault="00280DCA" w:rsidP="00762CEB">
      <w:pPr>
        <w:pStyle w:val="ListParagraph"/>
        <w:suppressAutoHyphens w:val="0"/>
        <w:spacing w:before="28" w:line="360" w:lineRule="auto"/>
        <w:jc w:val="both"/>
      </w:pPr>
    </w:p>
    <w:p w14:paraId="69EBEDFE" w14:textId="77777777" w:rsidR="00280DCA" w:rsidRPr="00EF27F0" w:rsidRDefault="00280DCA" w:rsidP="00762CEB">
      <w:pPr>
        <w:spacing w:line="360" w:lineRule="auto"/>
        <w:jc w:val="both"/>
      </w:pPr>
      <w:r w:rsidRPr="00EF27F0">
        <w:tab/>
        <w:t xml:space="preserve">Studij je organizovan kao redovni studij. Nastava se izvodi kombinacijom redovnog studija i učenja na daljinu. Drugi ciklus studija traje jednu (1) godinu (2 semestra) i vrednuje se sa 60 ECTS bodova. Studijska godina se organizuje u dva semestra (zimski i ljetni), od kojih svaki ima 15 nastavnih sedmica. </w:t>
      </w:r>
    </w:p>
    <w:p w14:paraId="1B160776" w14:textId="77777777" w:rsidR="00280DCA" w:rsidRPr="00EF27F0" w:rsidRDefault="00280DCA" w:rsidP="00762CEB">
      <w:pPr>
        <w:spacing w:line="360" w:lineRule="auto"/>
        <w:jc w:val="both"/>
      </w:pPr>
    </w:p>
    <w:p w14:paraId="3728F9B5" w14:textId="77777777" w:rsidR="00280DCA" w:rsidRPr="00EF27F0" w:rsidRDefault="00280DCA" w:rsidP="00762CEB">
      <w:pPr>
        <w:spacing w:line="360" w:lineRule="auto"/>
        <w:jc w:val="both"/>
      </w:pPr>
    </w:p>
    <w:p w14:paraId="3A00654D" w14:textId="77777777" w:rsidR="00280DCA" w:rsidRPr="00EF27F0" w:rsidRDefault="00280DCA" w:rsidP="00762CEB">
      <w:pPr>
        <w:pStyle w:val="ListParagraph"/>
        <w:numPr>
          <w:ilvl w:val="1"/>
          <w:numId w:val="1"/>
        </w:numPr>
        <w:suppressAutoHyphens w:val="0"/>
        <w:spacing w:before="28" w:line="360" w:lineRule="auto"/>
        <w:jc w:val="both"/>
      </w:pPr>
      <w:r w:rsidRPr="00EF27F0">
        <w:rPr>
          <w:b/>
        </w:rPr>
        <w:t xml:space="preserve"> Akademski i stručni naziv koji se stiče završetkom studijskog programa</w:t>
      </w:r>
    </w:p>
    <w:p w14:paraId="3C3B1EED" w14:textId="77777777" w:rsidR="00280DCA" w:rsidRPr="00EF27F0" w:rsidRDefault="00280DCA" w:rsidP="00762CEB">
      <w:pPr>
        <w:pStyle w:val="ListParagraph"/>
        <w:suppressAutoHyphens w:val="0"/>
        <w:spacing w:before="28" w:line="360" w:lineRule="auto"/>
        <w:jc w:val="both"/>
      </w:pPr>
    </w:p>
    <w:p w14:paraId="431E4FC7" w14:textId="68F6802C" w:rsidR="00280DCA" w:rsidRPr="00EF27F0" w:rsidRDefault="00280DCA" w:rsidP="00762CEB">
      <w:pPr>
        <w:widowControl w:val="0"/>
        <w:suppressAutoHyphens w:val="0"/>
        <w:spacing w:before="28" w:line="360" w:lineRule="auto"/>
        <w:jc w:val="both"/>
      </w:pPr>
      <w:r w:rsidRPr="00EF27F0">
        <w:rPr>
          <w:lang w:val="hr-HR" w:eastAsia="hr-HR"/>
        </w:rPr>
        <w:tab/>
        <w:t xml:space="preserve">Završetkom studija II ciklusa student stiče </w:t>
      </w:r>
      <w:r w:rsidRPr="00EF27F0">
        <w:rPr>
          <w:color w:val="auto"/>
          <w:lang w:val="hr-HR" w:eastAsia="hr-HR"/>
        </w:rPr>
        <w:t>akademsko</w:t>
      </w:r>
      <w:r w:rsidRPr="00EF27F0">
        <w:rPr>
          <w:lang w:val="hr-HR" w:eastAsia="hr-HR"/>
        </w:rPr>
        <w:t xml:space="preserve"> zvanje</w:t>
      </w:r>
      <w:r w:rsidRPr="00EF27F0">
        <w:rPr>
          <w:color w:val="FF0000"/>
          <w:lang w:val="hr-HR" w:eastAsia="hr-HR"/>
        </w:rPr>
        <w:t xml:space="preserve"> </w:t>
      </w:r>
      <w:r w:rsidRPr="00EF27F0">
        <w:rPr>
          <w:rFonts w:eastAsia="Courier New"/>
          <w:b/>
          <w:bCs/>
          <w:lang w:val="hr-HR" w:eastAsia="hr-HR" w:bidi="hr-HR"/>
        </w:rPr>
        <w:t xml:space="preserve">magistar </w:t>
      </w:r>
      <w:r w:rsidR="00762CEB" w:rsidRPr="00EF27F0">
        <w:rPr>
          <w:rFonts w:eastAsia="Courier New"/>
          <w:b/>
          <w:bCs/>
          <w:lang w:val="hr-HR" w:eastAsia="hr-HR" w:bidi="hr-HR"/>
        </w:rPr>
        <w:t>historije</w:t>
      </w:r>
      <w:r w:rsidRPr="00EF27F0">
        <w:rPr>
          <w:b/>
          <w:bCs/>
          <w:lang w:val="hr-HR" w:eastAsia="hr-HR"/>
        </w:rPr>
        <w:t xml:space="preserve">, </w:t>
      </w:r>
      <w:r w:rsidRPr="00EF27F0">
        <w:rPr>
          <w:lang w:val="hr-HR" w:eastAsia="hr-HR"/>
        </w:rPr>
        <w:t>a u skladu sa Pravilnikom o akademskim i stručnim zvanjima i načinu njihovog korištenja koji donosi Ministarstvo obrazovanja, nauke, kulture i sporta Tuzlanskog Kantona.</w:t>
      </w:r>
    </w:p>
    <w:p w14:paraId="7CE74B6C" w14:textId="77777777" w:rsidR="00280DCA" w:rsidRPr="00EF27F0" w:rsidRDefault="00280DCA" w:rsidP="00762CEB">
      <w:pPr>
        <w:widowControl w:val="0"/>
        <w:suppressAutoHyphens w:val="0"/>
        <w:spacing w:before="28" w:line="360" w:lineRule="auto"/>
        <w:ind w:firstLine="744"/>
        <w:jc w:val="both"/>
      </w:pPr>
    </w:p>
    <w:p w14:paraId="50456F09" w14:textId="77777777" w:rsidR="00280DCA" w:rsidRPr="00EF27F0" w:rsidRDefault="00280DCA" w:rsidP="00762CEB">
      <w:pPr>
        <w:widowControl w:val="0"/>
        <w:suppressAutoHyphens w:val="0"/>
        <w:spacing w:before="28" w:line="360" w:lineRule="auto"/>
        <w:ind w:firstLine="744"/>
        <w:jc w:val="both"/>
      </w:pPr>
    </w:p>
    <w:p w14:paraId="12C18F67" w14:textId="77777777" w:rsidR="00280DCA" w:rsidRPr="00EF27F0" w:rsidRDefault="00280DCA" w:rsidP="00762CEB">
      <w:pPr>
        <w:pStyle w:val="ListParagraph"/>
        <w:numPr>
          <w:ilvl w:val="1"/>
          <w:numId w:val="1"/>
        </w:numPr>
        <w:suppressAutoHyphens w:val="0"/>
        <w:spacing w:before="28" w:line="360" w:lineRule="auto"/>
        <w:jc w:val="both"/>
      </w:pPr>
      <w:r w:rsidRPr="00EF27F0">
        <w:rPr>
          <w:b/>
        </w:rPr>
        <w:t xml:space="preserve"> Jezik na kojem se izvodi studijski program</w:t>
      </w:r>
    </w:p>
    <w:p w14:paraId="26A721CF" w14:textId="77777777" w:rsidR="00280DCA" w:rsidRPr="00EF27F0" w:rsidRDefault="00280DCA" w:rsidP="00762CEB">
      <w:pPr>
        <w:pStyle w:val="ListParagraph"/>
        <w:suppressAutoHyphens w:val="0"/>
        <w:spacing w:before="28" w:line="360" w:lineRule="auto"/>
        <w:jc w:val="both"/>
      </w:pPr>
    </w:p>
    <w:p w14:paraId="74C8CF4C" w14:textId="77777777" w:rsidR="00280DCA" w:rsidRPr="00EF27F0" w:rsidRDefault="00280DCA" w:rsidP="00762CEB">
      <w:pPr>
        <w:suppressAutoHyphens w:val="0"/>
        <w:spacing w:before="28" w:line="360" w:lineRule="auto"/>
        <w:jc w:val="both"/>
        <w:rPr>
          <w:b/>
        </w:rPr>
      </w:pPr>
      <w:r w:rsidRPr="00EF27F0">
        <w:tab/>
        <w:t xml:space="preserve">Nastava na studijskom programu II ciklusa studija Psihologija izvodi se  na </w:t>
      </w:r>
      <w:r w:rsidRPr="00EF27F0">
        <w:rPr>
          <w:bCs/>
        </w:rPr>
        <w:t xml:space="preserve">službenim </w:t>
      </w:r>
      <w:r w:rsidRPr="00EF27F0">
        <w:t>jezicima u Bosni i Hercegovini</w:t>
      </w:r>
      <w:r w:rsidRPr="00EF27F0">
        <w:rPr>
          <w:b/>
        </w:rPr>
        <w:t>.</w:t>
      </w:r>
    </w:p>
    <w:p w14:paraId="56C5934A" w14:textId="77777777" w:rsidR="00280DCA" w:rsidRPr="00EF27F0" w:rsidRDefault="00280DCA" w:rsidP="00762CEB">
      <w:pPr>
        <w:suppressAutoHyphens w:val="0"/>
        <w:spacing w:before="28" w:line="360" w:lineRule="auto"/>
        <w:jc w:val="both"/>
      </w:pPr>
    </w:p>
    <w:p w14:paraId="74B0614F" w14:textId="77777777" w:rsidR="00280DCA" w:rsidRPr="00EF27F0" w:rsidRDefault="00280DCA" w:rsidP="00762CEB">
      <w:pPr>
        <w:suppressAutoHyphens w:val="0"/>
        <w:spacing w:before="28" w:line="360" w:lineRule="auto"/>
        <w:jc w:val="both"/>
      </w:pPr>
    </w:p>
    <w:p w14:paraId="2D921554" w14:textId="77777777" w:rsidR="00280DCA" w:rsidRPr="00EF27F0" w:rsidRDefault="00280DCA" w:rsidP="00762CEB">
      <w:pPr>
        <w:pStyle w:val="NoSpacing"/>
        <w:numPr>
          <w:ilvl w:val="1"/>
          <w:numId w:val="1"/>
        </w:numPr>
        <w:spacing w:line="360" w:lineRule="auto"/>
        <w:rPr>
          <w:rFonts w:ascii="Cambria" w:hAnsi="Cambria"/>
          <w:lang w:val="pl-PL"/>
        </w:rPr>
      </w:pPr>
      <w:r w:rsidRPr="00EF27F0">
        <w:rPr>
          <w:rFonts w:ascii="Cambria" w:hAnsi="Cambria"/>
          <w:b/>
          <w:sz w:val="24"/>
          <w:szCs w:val="24"/>
          <w:lang w:val="pl-PL"/>
        </w:rPr>
        <w:t xml:space="preserve"> Procedure i uslovi upisa na studijski program</w:t>
      </w:r>
    </w:p>
    <w:p w14:paraId="5848F448" w14:textId="77777777" w:rsidR="00280DCA" w:rsidRPr="00EF27F0" w:rsidRDefault="00280DCA" w:rsidP="00762CEB">
      <w:pPr>
        <w:pStyle w:val="NoSpacing"/>
        <w:spacing w:line="360" w:lineRule="auto"/>
        <w:jc w:val="both"/>
        <w:rPr>
          <w:rFonts w:ascii="Cambria" w:hAnsi="Cambria"/>
          <w:lang w:val="pl-PL"/>
        </w:rPr>
      </w:pPr>
      <w:r w:rsidRPr="00EF27F0">
        <w:rPr>
          <w:rFonts w:ascii="Cambria" w:hAnsi="Cambria"/>
          <w:color w:val="000000"/>
          <w:sz w:val="24"/>
          <w:szCs w:val="24"/>
          <w:lang w:val="pl-PL"/>
        </w:rPr>
        <w:t xml:space="preserve"> </w:t>
      </w:r>
    </w:p>
    <w:p w14:paraId="1FD26EC7" w14:textId="5ED1436E" w:rsidR="00602DE8" w:rsidRPr="00EF27F0" w:rsidRDefault="00602DE8" w:rsidP="00762CEB">
      <w:pPr>
        <w:pStyle w:val="NoSpacing"/>
        <w:spacing w:line="360" w:lineRule="auto"/>
        <w:jc w:val="both"/>
        <w:rPr>
          <w:rFonts w:ascii="Cambria" w:eastAsia="TimesNewRomanPSMT" w:hAnsi="Cambria"/>
          <w:sz w:val="24"/>
          <w:szCs w:val="24"/>
          <w:lang w:val="pl-PL"/>
        </w:rPr>
      </w:pPr>
      <w:r w:rsidRPr="00EF27F0">
        <w:rPr>
          <w:rFonts w:ascii="Cambria" w:eastAsia="TimesNewRomanPSMT" w:hAnsi="Cambria"/>
          <w:sz w:val="24"/>
          <w:szCs w:val="24"/>
          <w:lang w:val="pl-PL"/>
        </w:rPr>
        <w:t xml:space="preserve">Pravo upisa na studijski program II ciklusa imaju svi kandidati državljani Bosne i Hercegovine, strani državljani i osobe bez državljanstva koje su završila odgovarajući </w:t>
      </w:r>
      <w:r w:rsidRPr="00EF27F0">
        <w:rPr>
          <w:rFonts w:ascii="Cambria" w:eastAsia="TimesNewRomanPSMT" w:hAnsi="Cambria"/>
          <w:sz w:val="24"/>
          <w:szCs w:val="24"/>
          <w:lang w:val="pl-PL"/>
        </w:rPr>
        <w:lastRenderedPageBreak/>
        <w:t xml:space="preserve">dodiplomski studij/studij I ciklusa u trajanju od četiri godine (sa ostvarenih 240 ECTS bodova). Odgovarajući dodiplomski studij je dodiplomski studiji historije, te </w:t>
      </w:r>
      <w:r w:rsidR="00E50D98" w:rsidRPr="00E50D98">
        <w:rPr>
          <w:rFonts w:ascii="Cambria" w:eastAsia="TimesNewRomanPSMT" w:hAnsi="Cambria"/>
          <w:sz w:val="24"/>
          <w:szCs w:val="24"/>
          <w:lang w:val="pl-PL"/>
        </w:rPr>
        <w:t>sa srodnih društvenih i humanističkih fakulteta i odsjeka</w:t>
      </w:r>
      <w:r w:rsidRPr="00EF27F0">
        <w:rPr>
          <w:rFonts w:ascii="Cambria" w:eastAsia="TimesNewRomanPSMT" w:hAnsi="Cambria"/>
          <w:sz w:val="24"/>
          <w:szCs w:val="24"/>
          <w:lang w:val="pl-PL"/>
        </w:rPr>
        <w:t>, s time da ukupan broj kredita iz dodiplomskog odnosno prvog ciklusa studija ne bude manji od 240 ECTS. Klasifikacija i izbor kandidata za upis vrši se na osnovu kriterija u skladu sa procedurama koje utvrđuje Senat Univerziteta u Tuzli.</w:t>
      </w:r>
    </w:p>
    <w:p w14:paraId="37811BB5" w14:textId="2374400F" w:rsidR="00280DCA" w:rsidRPr="00EF27F0" w:rsidRDefault="00003790" w:rsidP="00762CEB">
      <w:pPr>
        <w:pStyle w:val="NoSpacing"/>
        <w:spacing w:line="360" w:lineRule="auto"/>
        <w:jc w:val="both"/>
        <w:rPr>
          <w:rFonts w:ascii="Cambria" w:hAnsi="Cambria"/>
          <w:color w:val="000000"/>
          <w:sz w:val="24"/>
          <w:szCs w:val="24"/>
          <w:lang w:val="de-DE" w:eastAsia="en-US"/>
        </w:rPr>
      </w:pPr>
      <w:r>
        <w:rPr>
          <w:rFonts w:ascii="Cambria" w:hAnsi="Cambria"/>
          <w:color w:val="000000"/>
          <w:sz w:val="24"/>
          <w:szCs w:val="24"/>
          <w:lang w:val="de-DE" w:eastAsia="en-US"/>
        </w:rPr>
        <w:t>Broj kandidata za izvođenje nastave definiše se Standardima i normativima visokog obrazovanja Tuzlanskog kantona.</w:t>
      </w:r>
    </w:p>
    <w:p w14:paraId="6F10C2D2" w14:textId="77777777" w:rsidR="00280DCA" w:rsidRPr="00EF27F0" w:rsidRDefault="00280DCA" w:rsidP="00762CEB">
      <w:pPr>
        <w:pStyle w:val="NoSpacing"/>
        <w:spacing w:line="360" w:lineRule="auto"/>
        <w:jc w:val="both"/>
        <w:rPr>
          <w:rFonts w:ascii="Cambria" w:hAnsi="Cambria"/>
          <w:lang w:val="de-DE"/>
        </w:rPr>
      </w:pPr>
    </w:p>
    <w:p w14:paraId="710EEAD9" w14:textId="77777777" w:rsidR="00280DCA" w:rsidRPr="00EF27F0" w:rsidRDefault="00280DCA" w:rsidP="00762CEB">
      <w:pPr>
        <w:pStyle w:val="NoSpacing"/>
        <w:spacing w:line="360" w:lineRule="auto"/>
        <w:jc w:val="both"/>
        <w:rPr>
          <w:rFonts w:ascii="Cambria" w:hAnsi="Cambria"/>
          <w:lang w:val="de-DE"/>
        </w:rPr>
      </w:pPr>
    </w:p>
    <w:p w14:paraId="64546AB6" w14:textId="77777777" w:rsidR="00280DCA" w:rsidRPr="00EF27F0" w:rsidRDefault="00280DCA" w:rsidP="00762CEB">
      <w:pPr>
        <w:pStyle w:val="NoSpacing"/>
        <w:numPr>
          <w:ilvl w:val="1"/>
          <w:numId w:val="1"/>
        </w:numPr>
        <w:spacing w:line="360" w:lineRule="auto"/>
        <w:jc w:val="both"/>
        <w:rPr>
          <w:rFonts w:ascii="Cambria" w:hAnsi="Cambria"/>
        </w:rPr>
      </w:pPr>
      <w:r w:rsidRPr="00EF27F0">
        <w:rPr>
          <w:rFonts w:ascii="Cambria" w:hAnsi="Cambria"/>
          <w:b/>
          <w:sz w:val="24"/>
          <w:szCs w:val="24"/>
        </w:rPr>
        <w:t xml:space="preserve"> </w:t>
      </w:r>
      <w:proofErr w:type="spellStart"/>
      <w:r w:rsidRPr="00EF27F0">
        <w:rPr>
          <w:rFonts w:ascii="Cambria" w:hAnsi="Cambria"/>
          <w:b/>
          <w:sz w:val="24"/>
          <w:szCs w:val="24"/>
        </w:rPr>
        <w:t>Popis</w:t>
      </w:r>
      <w:proofErr w:type="spellEnd"/>
      <w:r w:rsidRPr="00EF27F0">
        <w:rPr>
          <w:rFonts w:ascii="Cambria" w:hAnsi="Cambria"/>
          <w:b/>
          <w:sz w:val="24"/>
          <w:szCs w:val="24"/>
        </w:rPr>
        <w:t xml:space="preserve"> </w:t>
      </w:r>
      <w:proofErr w:type="spellStart"/>
      <w:r w:rsidRPr="00EF27F0">
        <w:rPr>
          <w:rFonts w:ascii="Cambria" w:hAnsi="Cambria"/>
          <w:b/>
          <w:sz w:val="24"/>
          <w:szCs w:val="24"/>
        </w:rPr>
        <w:t>predmeta</w:t>
      </w:r>
      <w:proofErr w:type="spellEnd"/>
      <w:r w:rsidRPr="00EF27F0">
        <w:rPr>
          <w:rFonts w:ascii="Cambria" w:hAnsi="Cambria"/>
          <w:b/>
          <w:sz w:val="24"/>
          <w:szCs w:val="24"/>
        </w:rPr>
        <w:t xml:space="preserve"> </w:t>
      </w:r>
      <w:proofErr w:type="spellStart"/>
      <w:r w:rsidRPr="00EF27F0">
        <w:rPr>
          <w:rFonts w:ascii="Cambria" w:hAnsi="Cambria"/>
          <w:b/>
          <w:sz w:val="24"/>
          <w:szCs w:val="24"/>
        </w:rPr>
        <w:t>sa</w:t>
      </w:r>
      <w:proofErr w:type="spellEnd"/>
      <w:r w:rsidRPr="00EF27F0">
        <w:rPr>
          <w:rFonts w:ascii="Cambria" w:hAnsi="Cambria"/>
          <w:b/>
          <w:sz w:val="24"/>
          <w:szCs w:val="24"/>
        </w:rPr>
        <w:t xml:space="preserve"> </w:t>
      </w:r>
      <w:proofErr w:type="spellStart"/>
      <w:r w:rsidRPr="00EF27F0">
        <w:rPr>
          <w:rFonts w:ascii="Cambria" w:hAnsi="Cambria"/>
          <w:b/>
          <w:sz w:val="24"/>
          <w:szCs w:val="24"/>
        </w:rPr>
        <w:t>brojem</w:t>
      </w:r>
      <w:proofErr w:type="spellEnd"/>
      <w:r w:rsidRPr="00EF27F0">
        <w:rPr>
          <w:rFonts w:ascii="Cambria" w:hAnsi="Cambria"/>
          <w:b/>
          <w:sz w:val="24"/>
          <w:szCs w:val="24"/>
        </w:rPr>
        <w:t xml:space="preserve"> sati </w:t>
      </w:r>
      <w:proofErr w:type="spellStart"/>
      <w:r w:rsidRPr="00EF27F0">
        <w:rPr>
          <w:rFonts w:ascii="Cambria" w:hAnsi="Cambria"/>
          <w:b/>
          <w:sz w:val="24"/>
          <w:szCs w:val="24"/>
        </w:rPr>
        <w:t>nastave</w:t>
      </w:r>
      <w:proofErr w:type="spellEnd"/>
      <w:r w:rsidRPr="00EF27F0">
        <w:rPr>
          <w:rFonts w:ascii="Cambria" w:hAnsi="Cambria"/>
          <w:b/>
          <w:sz w:val="24"/>
          <w:szCs w:val="24"/>
        </w:rPr>
        <w:t xml:space="preserve"> </w:t>
      </w:r>
      <w:proofErr w:type="spellStart"/>
      <w:r w:rsidRPr="00EF27F0">
        <w:rPr>
          <w:rFonts w:ascii="Cambria" w:hAnsi="Cambria"/>
          <w:b/>
          <w:sz w:val="24"/>
          <w:szCs w:val="24"/>
        </w:rPr>
        <w:t>i</w:t>
      </w:r>
      <w:proofErr w:type="spellEnd"/>
      <w:r w:rsidRPr="00EF27F0">
        <w:rPr>
          <w:rFonts w:ascii="Cambria" w:hAnsi="Cambria"/>
          <w:b/>
          <w:sz w:val="24"/>
          <w:szCs w:val="24"/>
        </w:rPr>
        <w:t xml:space="preserve"> </w:t>
      </w:r>
      <w:proofErr w:type="spellStart"/>
      <w:r w:rsidRPr="00EF27F0">
        <w:rPr>
          <w:rFonts w:ascii="Cambria" w:hAnsi="Cambria"/>
          <w:b/>
          <w:sz w:val="24"/>
          <w:szCs w:val="24"/>
        </w:rPr>
        <w:t>brojem</w:t>
      </w:r>
      <w:proofErr w:type="spellEnd"/>
      <w:r w:rsidRPr="00EF27F0">
        <w:rPr>
          <w:rFonts w:ascii="Cambria" w:hAnsi="Cambria"/>
          <w:b/>
          <w:sz w:val="24"/>
          <w:szCs w:val="24"/>
        </w:rPr>
        <w:t xml:space="preserve"> ECTS </w:t>
      </w:r>
      <w:proofErr w:type="spellStart"/>
      <w:r w:rsidRPr="00EF27F0">
        <w:rPr>
          <w:rFonts w:ascii="Cambria" w:hAnsi="Cambria"/>
          <w:b/>
          <w:sz w:val="24"/>
          <w:szCs w:val="24"/>
        </w:rPr>
        <w:t>bodova</w:t>
      </w:r>
      <w:proofErr w:type="spellEnd"/>
    </w:p>
    <w:p w14:paraId="158EA6E8" w14:textId="77777777" w:rsidR="00280DCA" w:rsidRPr="00EF27F0" w:rsidRDefault="00280DCA" w:rsidP="00762CEB">
      <w:pPr>
        <w:pStyle w:val="NoSpacing"/>
        <w:spacing w:line="360" w:lineRule="auto"/>
        <w:jc w:val="both"/>
        <w:rPr>
          <w:rFonts w:ascii="Cambria" w:hAnsi="Cambria"/>
        </w:rPr>
      </w:pPr>
    </w:p>
    <w:p w14:paraId="1CA5BD25" w14:textId="2435019A" w:rsidR="00280DCA" w:rsidRPr="00EF27F0" w:rsidRDefault="00280DCA" w:rsidP="00762CEB">
      <w:pPr>
        <w:suppressAutoHyphens w:val="0"/>
        <w:spacing w:line="360" w:lineRule="auto"/>
        <w:jc w:val="both"/>
        <w:rPr>
          <w:lang w:val="hr-HR" w:eastAsia="en-US"/>
        </w:rPr>
      </w:pPr>
      <w:r w:rsidRPr="00EF27F0">
        <w:rPr>
          <w:lang w:val="hr-HR" w:eastAsia="en-US"/>
        </w:rPr>
        <w:tab/>
        <w:t xml:space="preserve">Nastavni plan studijskog programa II ciklusa </w:t>
      </w:r>
      <w:r w:rsidR="00602DE8" w:rsidRPr="00EF27F0">
        <w:rPr>
          <w:lang w:val="hr-HR" w:eastAsia="en-US"/>
        </w:rPr>
        <w:t>Historija Bosne i Hercegovine</w:t>
      </w:r>
      <w:r w:rsidRPr="00EF27F0">
        <w:rPr>
          <w:lang w:val="hr-HR" w:eastAsia="en-US"/>
        </w:rPr>
        <w:t xml:space="preserve"> sadrži obavezne predmete te završni magistarski rad.</w:t>
      </w:r>
    </w:p>
    <w:tbl>
      <w:tblPr>
        <w:tblW w:w="0" w:type="auto"/>
        <w:tblLook w:val="04A0" w:firstRow="1" w:lastRow="0" w:firstColumn="1" w:lastColumn="0" w:noHBand="0" w:noVBand="1"/>
      </w:tblPr>
      <w:tblGrid>
        <w:gridCol w:w="349"/>
        <w:gridCol w:w="4006"/>
        <w:gridCol w:w="453"/>
        <w:gridCol w:w="371"/>
        <w:gridCol w:w="371"/>
        <w:gridCol w:w="631"/>
        <w:gridCol w:w="339"/>
        <w:gridCol w:w="347"/>
        <w:gridCol w:w="327"/>
        <w:gridCol w:w="1227"/>
        <w:gridCol w:w="631"/>
      </w:tblGrid>
      <w:tr w:rsidR="00602DE8" w:rsidRPr="00EF27F0" w14:paraId="4F4ADE6D" w14:textId="77777777" w:rsidTr="00024A05">
        <w:trPr>
          <w:trHeight w:val="300"/>
        </w:trPr>
        <w:tc>
          <w:tcPr>
            <w:tcW w:w="0" w:type="auto"/>
            <w:vMerge w:val="restart"/>
            <w:tcBorders>
              <w:top w:val="single" w:sz="8" w:space="0" w:color="00000A"/>
              <w:left w:val="single" w:sz="8" w:space="0" w:color="00000A"/>
              <w:bottom w:val="single" w:sz="8" w:space="0" w:color="000001"/>
              <w:right w:val="single" w:sz="8" w:space="0" w:color="00000A"/>
            </w:tcBorders>
            <w:shd w:val="clear" w:color="000000" w:fill="C0C0C0"/>
            <w:vAlign w:val="center"/>
            <w:hideMark/>
          </w:tcPr>
          <w:p w14:paraId="70E972E0" w14:textId="77777777" w:rsidR="00602DE8" w:rsidRPr="00EF27F0" w:rsidRDefault="00602DE8" w:rsidP="00024A05">
            <w:pPr>
              <w:tabs>
                <w:tab w:val="clear" w:pos="708"/>
              </w:tabs>
              <w:suppressAutoHyphens w:val="0"/>
              <w:rPr>
                <w:color w:val="auto"/>
              </w:rPr>
            </w:pPr>
            <w:r w:rsidRPr="00EF27F0">
              <w:rPr>
                <w:color w:val="auto"/>
              </w:rPr>
              <w:t> </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46E8DD9B" w14:textId="77777777" w:rsidR="00602DE8" w:rsidRPr="00EF27F0" w:rsidRDefault="00602DE8" w:rsidP="00024A05">
            <w:pPr>
              <w:tabs>
                <w:tab w:val="clear" w:pos="708"/>
              </w:tabs>
              <w:suppressAutoHyphens w:val="0"/>
              <w:rPr>
                <w:rFonts w:cs="Arial"/>
                <w:b/>
                <w:bCs/>
                <w:sz w:val="20"/>
                <w:szCs w:val="20"/>
              </w:rPr>
            </w:pPr>
            <w:r w:rsidRPr="00EF27F0">
              <w:rPr>
                <w:rFonts w:cs="Arial"/>
                <w:b/>
                <w:bCs/>
                <w:sz w:val="20"/>
                <w:szCs w:val="20"/>
              </w:rPr>
              <w:t xml:space="preserve">PRVA (I) GODINA </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6E8A623D"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4DE7C3AF"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II semestar</w:t>
            </w:r>
          </w:p>
        </w:tc>
      </w:tr>
      <w:tr w:rsidR="00602DE8" w:rsidRPr="00EF27F0" w14:paraId="47FF001B" w14:textId="77777777" w:rsidTr="00024A05">
        <w:trPr>
          <w:trHeight w:val="30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0643CAE0" w14:textId="77777777" w:rsidR="00602DE8" w:rsidRPr="00EF27F0" w:rsidRDefault="00602DE8" w:rsidP="00024A05">
            <w:pPr>
              <w:tabs>
                <w:tab w:val="clear" w:pos="708"/>
              </w:tabs>
              <w:suppressAutoHyphens w:val="0"/>
              <w:rPr>
                <w:color w:val="auto"/>
              </w:rPr>
            </w:pPr>
          </w:p>
        </w:tc>
        <w:tc>
          <w:tcPr>
            <w:tcW w:w="0" w:type="auto"/>
            <w:tcBorders>
              <w:top w:val="nil"/>
              <w:left w:val="nil"/>
              <w:bottom w:val="single" w:sz="8" w:space="0" w:color="00000A"/>
              <w:right w:val="single" w:sz="8" w:space="0" w:color="00000A"/>
            </w:tcBorders>
            <w:shd w:val="clear" w:color="000000" w:fill="C0C0C0"/>
            <w:vAlign w:val="center"/>
            <w:hideMark/>
          </w:tcPr>
          <w:p w14:paraId="71CAAD97" w14:textId="77777777" w:rsidR="00602DE8" w:rsidRPr="00EF27F0" w:rsidRDefault="00602DE8" w:rsidP="00024A05">
            <w:pPr>
              <w:tabs>
                <w:tab w:val="clear" w:pos="708"/>
              </w:tabs>
              <w:suppressAutoHyphens w:val="0"/>
              <w:rPr>
                <w:rFonts w:cs="Arial"/>
                <w:b/>
                <w:bCs/>
                <w:sz w:val="20"/>
                <w:szCs w:val="20"/>
              </w:rPr>
            </w:pPr>
            <w:r w:rsidRPr="00EF27F0">
              <w:rPr>
                <w:rFonts w:cs="Arial"/>
                <w:b/>
                <w:bCs/>
                <w:sz w:val="20"/>
                <w:szCs w:val="20"/>
              </w:rPr>
              <w:t>Obavezni krediti</w:t>
            </w:r>
          </w:p>
        </w:tc>
        <w:tc>
          <w:tcPr>
            <w:tcW w:w="0" w:type="auto"/>
            <w:gridSpan w:val="4"/>
            <w:tcBorders>
              <w:top w:val="single" w:sz="8" w:space="0" w:color="00000A"/>
              <w:left w:val="nil"/>
              <w:bottom w:val="single" w:sz="8" w:space="0" w:color="00000A"/>
              <w:right w:val="single" w:sz="8" w:space="0" w:color="00000A"/>
            </w:tcBorders>
            <w:shd w:val="clear" w:color="000000" w:fill="C0C0C0"/>
            <w:vAlign w:val="center"/>
            <w:hideMark/>
          </w:tcPr>
          <w:p w14:paraId="07727F3B"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Zimski semestar</w:t>
            </w:r>
          </w:p>
        </w:tc>
        <w:tc>
          <w:tcPr>
            <w:tcW w:w="0" w:type="auto"/>
            <w:gridSpan w:val="5"/>
            <w:tcBorders>
              <w:top w:val="single" w:sz="8" w:space="0" w:color="00000A"/>
              <w:left w:val="nil"/>
              <w:bottom w:val="single" w:sz="8" w:space="0" w:color="00000A"/>
              <w:right w:val="single" w:sz="8" w:space="0" w:color="00000A"/>
            </w:tcBorders>
            <w:shd w:val="clear" w:color="000000" w:fill="C0C0C0"/>
            <w:vAlign w:val="center"/>
            <w:hideMark/>
          </w:tcPr>
          <w:p w14:paraId="4E87BA32"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Ljetni semestar</w:t>
            </w:r>
          </w:p>
        </w:tc>
      </w:tr>
      <w:tr w:rsidR="00602DE8" w:rsidRPr="00EF27F0" w14:paraId="4284D3AF" w14:textId="77777777" w:rsidTr="00024A05">
        <w:trPr>
          <w:trHeight w:val="780"/>
        </w:trPr>
        <w:tc>
          <w:tcPr>
            <w:tcW w:w="0" w:type="auto"/>
            <w:vMerge/>
            <w:tcBorders>
              <w:top w:val="single" w:sz="8" w:space="0" w:color="00000A"/>
              <w:left w:val="single" w:sz="8" w:space="0" w:color="00000A"/>
              <w:bottom w:val="single" w:sz="8" w:space="0" w:color="000001"/>
              <w:right w:val="single" w:sz="8" w:space="0" w:color="00000A"/>
            </w:tcBorders>
            <w:vAlign w:val="center"/>
            <w:hideMark/>
          </w:tcPr>
          <w:p w14:paraId="1CB3F3E3" w14:textId="77777777" w:rsidR="00602DE8" w:rsidRPr="00EF27F0" w:rsidRDefault="00602DE8" w:rsidP="00024A05">
            <w:pPr>
              <w:tabs>
                <w:tab w:val="clear" w:pos="708"/>
              </w:tabs>
              <w:suppressAutoHyphens w:val="0"/>
              <w:rPr>
                <w:color w:val="auto"/>
              </w:rPr>
            </w:pPr>
          </w:p>
        </w:tc>
        <w:tc>
          <w:tcPr>
            <w:tcW w:w="0" w:type="auto"/>
            <w:tcBorders>
              <w:top w:val="nil"/>
              <w:left w:val="nil"/>
              <w:bottom w:val="nil"/>
              <w:right w:val="single" w:sz="8" w:space="0" w:color="00000A"/>
            </w:tcBorders>
            <w:shd w:val="clear" w:color="000000" w:fill="C0C0C0"/>
            <w:vAlign w:val="center"/>
            <w:hideMark/>
          </w:tcPr>
          <w:p w14:paraId="3EA00A68" w14:textId="77777777" w:rsidR="00602DE8" w:rsidRPr="00EF27F0" w:rsidRDefault="00602DE8" w:rsidP="00024A05">
            <w:pPr>
              <w:tabs>
                <w:tab w:val="clear" w:pos="708"/>
              </w:tabs>
              <w:suppressAutoHyphens w:val="0"/>
              <w:rPr>
                <w:rFonts w:cs="Arial"/>
                <w:b/>
                <w:bCs/>
                <w:sz w:val="20"/>
                <w:szCs w:val="20"/>
              </w:rPr>
            </w:pPr>
            <w:r w:rsidRPr="00EF27F0">
              <w:rPr>
                <w:rFonts w:cs="Arial"/>
                <w:b/>
                <w:bCs/>
                <w:sz w:val="20"/>
                <w:szCs w:val="20"/>
              </w:rPr>
              <w:t>PREDMET</w:t>
            </w:r>
          </w:p>
        </w:tc>
        <w:tc>
          <w:tcPr>
            <w:tcW w:w="0" w:type="auto"/>
            <w:tcBorders>
              <w:top w:val="nil"/>
              <w:left w:val="nil"/>
              <w:bottom w:val="nil"/>
              <w:right w:val="single" w:sz="8" w:space="0" w:color="00000A"/>
            </w:tcBorders>
            <w:shd w:val="clear" w:color="000000" w:fill="C0C0C0"/>
            <w:vAlign w:val="center"/>
            <w:hideMark/>
          </w:tcPr>
          <w:p w14:paraId="1CBC0170"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738FEE5D"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73B86D54"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05471FFD" w14:textId="77777777" w:rsidR="00602DE8" w:rsidRPr="00EF27F0" w:rsidRDefault="00602DE8" w:rsidP="00024A05">
            <w:pPr>
              <w:tabs>
                <w:tab w:val="clear" w:pos="708"/>
              </w:tabs>
              <w:suppressAutoHyphens w:val="0"/>
              <w:jc w:val="center"/>
              <w:rPr>
                <w:rFonts w:cs="Arial"/>
                <w:b/>
                <w:bCs/>
                <w:sz w:val="18"/>
                <w:szCs w:val="18"/>
              </w:rPr>
            </w:pPr>
            <w:r w:rsidRPr="00EF27F0">
              <w:rPr>
                <w:rFonts w:cs="Arial"/>
                <w:b/>
                <w:bCs/>
                <w:sz w:val="18"/>
                <w:szCs w:val="18"/>
              </w:rPr>
              <w:t>ECTS</w:t>
            </w:r>
          </w:p>
        </w:tc>
        <w:tc>
          <w:tcPr>
            <w:tcW w:w="0" w:type="auto"/>
            <w:tcBorders>
              <w:top w:val="nil"/>
              <w:left w:val="nil"/>
              <w:bottom w:val="nil"/>
              <w:right w:val="single" w:sz="8" w:space="0" w:color="00000A"/>
            </w:tcBorders>
            <w:shd w:val="clear" w:color="000000" w:fill="C0C0C0"/>
            <w:vAlign w:val="center"/>
            <w:hideMark/>
          </w:tcPr>
          <w:p w14:paraId="14A2D2C0"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P</w:t>
            </w:r>
          </w:p>
        </w:tc>
        <w:tc>
          <w:tcPr>
            <w:tcW w:w="0" w:type="auto"/>
            <w:tcBorders>
              <w:top w:val="nil"/>
              <w:left w:val="nil"/>
              <w:bottom w:val="nil"/>
              <w:right w:val="single" w:sz="8" w:space="0" w:color="00000A"/>
            </w:tcBorders>
            <w:shd w:val="clear" w:color="000000" w:fill="C0C0C0"/>
            <w:vAlign w:val="center"/>
            <w:hideMark/>
          </w:tcPr>
          <w:p w14:paraId="457BDF2D"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A</w:t>
            </w:r>
          </w:p>
        </w:tc>
        <w:tc>
          <w:tcPr>
            <w:tcW w:w="0" w:type="auto"/>
            <w:tcBorders>
              <w:top w:val="nil"/>
              <w:left w:val="nil"/>
              <w:bottom w:val="nil"/>
              <w:right w:val="single" w:sz="8" w:space="0" w:color="00000A"/>
            </w:tcBorders>
            <w:shd w:val="clear" w:color="000000" w:fill="C0C0C0"/>
            <w:vAlign w:val="center"/>
            <w:hideMark/>
          </w:tcPr>
          <w:p w14:paraId="3C2D8981"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L</w:t>
            </w:r>
          </w:p>
        </w:tc>
        <w:tc>
          <w:tcPr>
            <w:tcW w:w="0" w:type="auto"/>
            <w:tcBorders>
              <w:top w:val="nil"/>
              <w:left w:val="nil"/>
              <w:bottom w:val="nil"/>
              <w:right w:val="single" w:sz="8" w:space="0" w:color="00000A"/>
            </w:tcBorders>
            <w:shd w:val="clear" w:color="000000" w:fill="C0C0C0"/>
            <w:vAlign w:val="center"/>
            <w:hideMark/>
          </w:tcPr>
          <w:p w14:paraId="3A00F0A2"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drugi oblici nastave</w:t>
            </w:r>
          </w:p>
        </w:tc>
        <w:tc>
          <w:tcPr>
            <w:tcW w:w="0" w:type="auto"/>
            <w:tcBorders>
              <w:top w:val="nil"/>
              <w:left w:val="nil"/>
              <w:bottom w:val="nil"/>
              <w:right w:val="single" w:sz="8" w:space="0" w:color="00000A"/>
            </w:tcBorders>
            <w:shd w:val="clear" w:color="000000" w:fill="C0C0C0"/>
            <w:vAlign w:val="center"/>
            <w:hideMark/>
          </w:tcPr>
          <w:p w14:paraId="511C375D" w14:textId="77777777" w:rsidR="00602DE8" w:rsidRPr="00EF27F0" w:rsidRDefault="00602DE8" w:rsidP="00024A05">
            <w:pPr>
              <w:tabs>
                <w:tab w:val="clear" w:pos="708"/>
              </w:tabs>
              <w:suppressAutoHyphens w:val="0"/>
              <w:jc w:val="center"/>
              <w:rPr>
                <w:rFonts w:cs="Arial"/>
                <w:b/>
                <w:bCs/>
                <w:sz w:val="18"/>
                <w:szCs w:val="18"/>
              </w:rPr>
            </w:pPr>
            <w:r w:rsidRPr="00EF27F0">
              <w:rPr>
                <w:rFonts w:cs="Arial"/>
                <w:b/>
                <w:bCs/>
                <w:sz w:val="18"/>
                <w:szCs w:val="18"/>
              </w:rPr>
              <w:t>ECTS</w:t>
            </w:r>
          </w:p>
        </w:tc>
      </w:tr>
      <w:tr w:rsidR="00602DE8" w:rsidRPr="00EF27F0" w14:paraId="6E363C1F" w14:textId="77777777" w:rsidTr="00024A05">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7CB9C5CD" w14:textId="77777777" w:rsidR="00602DE8" w:rsidRPr="00EF27F0" w:rsidRDefault="00602DE8" w:rsidP="00024A05">
            <w:pPr>
              <w:tabs>
                <w:tab w:val="clear" w:pos="708"/>
              </w:tabs>
              <w:suppressAutoHyphens w:val="0"/>
            </w:pPr>
            <w:r w:rsidRPr="00EF27F0">
              <w:t>1</w:t>
            </w:r>
          </w:p>
        </w:tc>
        <w:tc>
          <w:tcPr>
            <w:tcW w:w="0" w:type="auto"/>
            <w:tcBorders>
              <w:top w:val="single" w:sz="8" w:space="0" w:color="00000A"/>
              <w:left w:val="nil"/>
              <w:bottom w:val="single" w:sz="8" w:space="0" w:color="00000A"/>
              <w:right w:val="single" w:sz="8" w:space="0" w:color="00000A"/>
            </w:tcBorders>
            <w:shd w:val="clear" w:color="000000" w:fill="C0C0C0"/>
            <w:vAlign w:val="center"/>
            <w:hideMark/>
          </w:tcPr>
          <w:p w14:paraId="7DE63285" w14:textId="77777777" w:rsidR="00602DE8" w:rsidRPr="00EF27F0" w:rsidRDefault="00602DE8" w:rsidP="00024A05">
            <w:pPr>
              <w:tabs>
                <w:tab w:val="clear" w:pos="708"/>
              </w:tabs>
              <w:suppressAutoHyphens w:val="0"/>
              <w:rPr>
                <w:rFonts w:cs="Arial"/>
                <w:sz w:val="20"/>
                <w:szCs w:val="20"/>
              </w:rPr>
            </w:pPr>
            <w:r w:rsidRPr="00EF27F0">
              <w:t>Metodologija historijskih istraživanja sa osnovama historiografije Bosne i Hercegovine</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032D0BA3"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3</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72240E4E"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1 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6C45B8FA"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0 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49D63C4A"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6 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3AD3CB42"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6A297DCA"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54CB8DEA"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20103A8D"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single" w:sz="8" w:space="0" w:color="00000A"/>
              <w:left w:val="nil"/>
              <w:bottom w:val="single" w:sz="8" w:space="0" w:color="00000A"/>
              <w:right w:val="single" w:sz="8" w:space="0" w:color="00000A"/>
            </w:tcBorders>
            <w:shd w:val="clear" w:color="000000" w:fill="FFFFFF"/>
            <w:vAlign w:val="center"/>
            <w:hideMark/>
          </w:tcPr>
          <w:p w14:paraId="29A30652"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r>
      <w:tr w:rsidR="00602DE8" w:rsidRPr="00EF27F0" w14:paraId="21428CBC" w14:textId="77777777" w:rsidTr="00024A05">
        <w:trPr>
          <w:trHeight w:val="289"/>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31AD6447" w14:textId="77777777" w:rsidR="00602DE8" w:rsidRPr="00EF27F0" w:rsidRDefault="00602DE8" w:rsidP="00024A05">
            <w:pPr>
              <w:tabs>
                <w:tab w:val="clear" w:pos="708"/>
              </w:tabs>
              <w:suppressAutoHyphens w:val="0"/>
            </w:pPr>
            <w:r w:rsidRPr="00EF27F0">
              <w:t>2</w:t>
            </w:r>
          </w:p>
        </w:tc>
        <w:tc>
          <w:tcPr>
            <w:tcW w:w="0" w:type="auto"/>
            <w:tcBorders>
              <w:top w:val="nil"/>
              <w:left w:val="nil"/>
              <w:bottom w:val="single" w:sz="8" w:space="0" w:color="00000A"/>
              <w:right w:val="single" w:sz="8" w:space="0" w:color="00000A"/>
            </w:tcBorders>
            <w:shd w:val="clear" w:color="000000" w:fill="C0C0C0"/>
            <w:vAlign w:val="center"/>
            <w:hideMark/>
          </w:tcPr>
          <w:p w14:paraId="63ECCABD" w14:textId="77777777" w:rsidR="00602DE8" w:rsidRPr="00EF27F0" w:rsidRDefault="00602DE8" w:rsidP="00024A05">
            <w:pPr>
              <w:tabs>
                <w:tab w:val="clear" w:pos="708"/>
              </w:tabs>
              <w:suppressAutoHyphens w:val="0"/>
            </w:pPr>
            <w:r w:rsidRPr="00EF27F0">
              <w:t>Korijeni Bosne i bosanskog društva</w:t>
            </w:r>
          </w:p>
          <w:p w14:paraId="0E2A916D" w14:textId="77777777" w:rsidR="00602DE8" w:rsidRPr="00EF27F0" w:rsidRDefault="00602DE8" w:rsidP="00024A05">
            <w:pPr>
              <w:tabs>
                <w:tab w:val="clear" w:pos="708"/>
              </w:tabs>
              <w:suppressAutoHyphens w:val="0"/>
              <w:rPr>
                <w:rFonts w:cs="Arial"/>
                <w:sz w:val="20"/>
                <w:szCs w:val="20"/>
              </w:rPr>
            </w:pPr>
          </w:p>
        </w:tc>
        <w:tc>
          <w:tcPr>
            <w:tcW w:w="0" w:type="auto"/>
            <w:tcBorders>
              <w:top w:val="nil"/>
              <w:left w:val="nil"/>
              <w:bottom w:val="single" w:sz="8" w:space="0" w:color="00000A"/>
              <w:right w:val="single" w:sz="8" w:space="0" w:color="00000A"/>
            </w:tcBorders>
            <w:shd w:val="clear" w:color="000000" w:fill="FFFFFF"/>
            <w:vAlign w:val="center"/>
            <w:hideMark/>
          </w:tcPr>
          <w:p w14:paraId="1219B122"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2</w:t>
            </w:r>
          </w:p>
        </w:tc>
        <w:tc>
          <w:tcPr>
            <w:tcW w:w="0" w:type="auto"/>
            <w:tcBorders>
              <w:top w:val="nil"/>
              <w:left w:val="nil"/>
              <w:bottom w:val="single" w:sz="8" w:space="0" w:color="00000A"/>
              <w:right w:val="single" w:sz="8" w:space="0" w:color="00000A"/>
            </w:tcBorders>
            <w:shd w:val="clear" w:color="000000" w:fill="FFFFFF"/>
            <w:vAlign w:val="center"/>
            <w:hideMark/>
          </w:tcPr>
          <w:p w14:paraId="7EAD111B"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2 </w:t>
            </w:r>
          </w:p>
        </w:tc>
        <w:tc>
          <w:tcPr>
            <w:tcW w:w="0" w:type="auto"/>
            <w:tcBorders>
              <w:top w:val="nil"/>
              <w:left w:val="nil"/>
              <w:bottom w:val="single" w:sz="8" w:space="0" w:color="00000A"/>
              <w:right w:val="single" w:sz="8" w:space="0" w:color="00000A"/>
            </w:tcBorders>
            <w:shd w:val="clear" w:color="000000" w:fill="FFFFFF"/>
            <w:vAlign w:val="center"/>
            <w:hideMark/>
          </w:tcPr>
          <w:p w14:paraId="50763C02"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0 </w:t>
            </w:r>
          </w:p>
        </w:tc>
        <w:tc>
          <w:tcPr>
            <w:tcW w:w="0" w:type="auto"/>
            <w:tcBorders>
              <w:top w:val="nil"/>
              <w:left w:val="nil"/>
              <w:bottom w:val="single" w:sz="8" w:space="0" w:color="00000A"/>
              <w:right w:val="single" w:sz="8" w:space="0" w:color="00000A"/>
            </w:tcBorders>
            <w:shd w:val="clear" w:color="000000" w:fill="FFFFFF"/>
            <w:vAlign w:val="center"/>
            <w:hideMark/>
          </w:tcPr>
          <w:p w14:paraId="62E8F4A9"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6 </w:t>
            </w:r>
          </w:p>
        </w:tc>
        <w:tc>
          <w:tcPr>
            <w:tcW w:w="0" w:type="auto"/>
            <w:tcBorders>
              <w:top w:val="nil"/>
              <w:left w:val="nil"/>
              <w:bottom w:val="single" w:sz="8" w:space="0" w:color="00000A"/>
              <w:right w:val="single" w:sz="8" w:space="0" w:color="00000A"/>
            </w:tcBorders>
            <w:shd w:val="clear" w:color="000000" w:fill="FFFFFF"/>
            <w:vAlign w:val="center"/>
            <w:hideMark/>
          </w:tcPr>
          <w:p w14:paraId="1DFEF2BB"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8B2A2A9"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817061C"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06523C6A"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BE452A0"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r>
      <w:tr w:rsidR="00602DE8" w:rsidRPr="00EF27F0" w14:paraId="6C0ED420" w14:textId="77777777" w:rsidTr="00024A05">
        <w:trPr>
          <w:trHeight w:val="330"/>
        </w:trPr>
        <w:tc>
          <w:tcPr>
            <w:tcW w:w="0" w:type="auto"/>
            <w:tcBorders>
              <w:top w:val="nil"/>
              <w:left w:val="single" w:sz="8" w:space="0" w:color="00000A"/>
              <w:bottom w:val="nil"/>
              <w:right w:val="nil"/>
            </w:tcBorders>
            <w:shd w:val="clear" w:color="000000" w:fill="C0C0C0"/>
            <w:vAlign w:val="center"/>
            <w:hideMark/>
          </w:tcPr>
          <w:p w14:paraId="111DBC27" w14:textId="77777777" w:rsidR="00602DE8" w:rsidRPr="00EF27F0" w:rsidRDefault="00602DE8" w:rsidP="00024A05">
            <w:pPr>
              <w:tabs>
                <w:tab w:val="clear" w:pos="708"/>
              </w:tabs>
              <w:suppressAutoHyphens w:val="0"/>
            </w:pPr>
            <w:r w:rsidRPr="00EF27F0">
              <w:t>3</w:t>
            </w:r>
          </w:p>
        </w:tc>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3CC7CBF5" w14:textId="77777777" w:rsidR="00602DE8" w:rsidRPr="00EF27F0" w:rsidRDefault="00602DE8" w:rsidP="00024A05">
            <w:pPr>
              <w:tabs>
                <w:tab w:val="clear" w:pos="708"/>
              </w:tabs>
              <w:suppressAutoHyphens w:val="0"/>
            </w:pPr>
            <w:r w:rsidRPr="00EF27F0">
              <w:t xml:space="preserve">Bosanske zemlje u srednjem vijeku </w:t>
            </w:r>
          </w:p>
        </w:tc>
        <w:tc>
          <w:tcPr>
            <w:tcW w:w="0" w:type="auto"/>
            <w:tcBorders>
              <w:top w:val="nil"/>
              <w:left w:val="nil"/>
              <w:bottom w:val="single" w:sz="8" w:space="0" w:color="00000A"/>
              <w:right w:val="single" w:sz="8" w:space="0" w:color="00000A"/>
            </w:tcBorders>
            <w:shd w:val="clear" w:color="000000" w:fill="FFFFFF"/>
            <w:vAlign w:val="center"/>
            <w:hideMark/>
          </w:tcPr>
          <w:p w14:paraId="57E83AC9"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xml:space="preserve"> 2</w:t>
            </w:r>
          </w:p>
        </w:tc>
        <w:tc>
          <w:tcPr>
            <w:tcW w:w="0" w:type="auto"/>
            <w:tcBorders>
              <w:top w:val="nil"/>
              <w:left w:val="nil"/>
              <w:bottom w:val="single" w:sz="8" w:space="0" w:color="00000A"/>
              <w:right w:val="single" w:sz="8" w:space="0" w:color="00000A"/>
            </w:tcBorders>
            <w:shd w:val="clear" w:color="000000" w:fill="FFFFFF"/>
            <w:vAlign w:val="center"/>
            <w:hideMark/>
          </w:tcPr>
          <w:p w14:paraId="0324277C"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2 </w:t>
            </w:r>
          </w:p>
        </w:tc>
        <w:tc>
          <w:tcPr>
            <w:tcW w:w="0" w:type="auto"/>
            <w:tcBorders>
              <w:top w:val="nil"/>
              <w:left w:val="nil"/>
              <w:bottom w:val="single" w:sz="8" w:space="0" w:color="00000A"/>
              <w:right w:val="single" w:sz="8" w:space="0" w:color="00000A"/>
            </w:tcBorders>
            <w:shd w:val="clear" w:color="000000" w:fill="FFFFFF"/>
            <w:vAlign w:val="center"/>
            <w:hideMark/>
          </w:tcPr>
          <w:p w14:paraId="1D0B7A32"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0 </w:t>
            </w:r>
          </w:p>
        </w:tc>
        <w:tc>
          <w:tcPr>
            <w:tcW w:w="0" w:type="auto"/>
            <w:tcBorders>
              <w:top w:val="nil"/>
              <w:left w:val="nil"/>
              <w:bottom w:val="single" w:sz="8" w:space="0" w:color="00000A"/>
              <w:right w:val="single" w:sz="8" w:space="0" w:color="00000A"/>
            </w:tcBorders>
            <w:shd w:val="clear" w:color="000000" w:fill="FFFFFF"/>
            <w:vAlign w:val="center"/>
            <w:hideMark/>
          </w:tcPr>
          <w:p w14:paraId="5C5B81D8"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6 </w:t>
            </w:r>
          </w:p>
        </w:tc>
        <w:tc>
          <w:tcPr>
            <w:tcW w:w="0" w:type="auto"/>
            <w:tcBorders>
              <w:top w:val="nil"/>
              <w:left w:val="nil"/>
              <w:bottom w:val="single" w:sz="8" w:space="0" w:color="00000A"/>
              <w:right w:val="single" w:sz="8" w:space="0" w:color="00000A"/>
            </w:tcBorders>
            <w:shd w:val="clear" w:color="000000" w:fill="FFFFFF"/>
            <w:vAlign w:val="center"/>
            <w:hideMark/>
          </w:tcPr>
          <w:p w14:paraId="3D91165B"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02138791"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244655F"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4F1C0FC"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9855B5D"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r>
      <w:tr w:rsidR="00602DE8" w:rsidRPr="00EF27F0" w14:paraId="2D9DAFEC" w14:textId="77777777" w:rsidTr="00024A05">
        <w:trPr>
          <w:trHeight w:val="330"/>
        </w:trPr>
        <w:tc>
          <w:tcPr>
            <w:tcW w:w="0" w:type="auto"/>
            <w:tcBorders>
              <w:top w:val="single" w:sz="8" w:space="0" w:color="auto"/>
              <w:left w:val="single" w:sz="8" w:space="0" w:color="auto"/>
              <w:bottom w:val="single" w:sz="8" w:space="0" w:color="auto"/>
              <w:right w:val="single" w:sz="8" w:space="0" w:color="auto"/>
            </w:tcBorders>
            <w:shd w:val="clear" w:color="000000" w:fill="C0C0C0"/>
            <w:vAlign w:val="center"/>
            <w:hideMark/>
          </w:tcPr>
          <w:p w14:paraId="0FECCB8F" w14:textId="77777777" w:rsidR="00602DE8" w:rsidRPr="00EF27F0" w:rsidRDefault="00602DE8" w:rsidP="00024A05">
            <w:pPr>
              <w:tabs>
                <w:tab w:val="clear" w:pos="708"/>
              </w:tabs>
              <w:suppressAutoHyphens w:val="0"/>
            </w:pPr>
            <w:r w:rsidRPr="00EF27F0">
              <w:t>4</w:t>
            </w:r>
          </w:p>
        </w:tc>
        <w:tc>
          <w:tcPr>
            <w:tcW w:w="0" w:type="auto"/>
            <w:tcBorders>
              <w:top w:val="nil"/>
              <w:left w:val="nil"/>
              <w:bottom w:val="single" w:sz="8" w:space="0" w:color="00000A"/>
              <w:right w:val="single" w:sz="8" w:space="0" w:color="00000A"/>
            </w:tcBorders>
            <w:shd w:val="clear" w:color="000000" w:fill="C0C0C0"/>
            <w:vAlign w:val="center"/>
            <w:hideMark/>
          </w:tcPr>
          <w:p w14:paraId="0A49F136" w14:textId="77777777" w:rsidR="00602DE8" w:rsidRPr="00EF27F0" w:rsidRDefault="00602DE8" w:rsidP="00024A05">
            <w:pPr>
              <w:tabs>
                <w:tab w:val="clear" w:pos="708"/>
              </w:tabs>
              <w:suppressAutoHyphens w:val="0"/>
              <w:rPr>
                <w:rFonts w:cs="Arial"/>
                <w:sz w:val="20"/>
                <w:szCs w:val="20"/>
              </w:rPr>
            </w:pPr>
            <w:r w:rsidRPr="00EF27F0">
              <w:t>Bosna i Hercegovina u novom vijeku: kontinuitet identiteta i posebnosti (državnosti) (1463-1878)</w:t>
            </w:r>
          </w:p>
        </w:tc>
        <w:tc>
          <w:tcPr>
            <w:tcW w:w="0" w:type="auto"/>
            <w:tcBorders>
              <w:top w:val="nil"/>
              <w:left w:val="nil"/>
              <w:bottom w:val="single" w:sz="8" w:space="0" w:color="00000A"/>
              <w:right w:val="single" w:sz="8" w:space="0" w:color="00000A"/>
            </w:tcBorders>
            <w:shd w:val="clear" w:color="000000" w:fill="FFFFFF"/>
            <w:vAlign w:val="center"/>
            <w:hideMark/>
          </w:tcPr>
          <w:p w14:paraId="51B76A4D"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2</w:t>
            </w:r>
          </w:p>
        </w:tc>
        <w:tc>
          <w:tcPr>
            <w:tcW w:w="0" w:type="auto"/>
            <w:tcBorders>
              <w:top w:val="nil"/>
              <w:left w:val="nil"/>
              <w:bottom w:val="single" w:sz="8" w:space="0" w:color="00000A"/>
              <w:right w:val="single" w:sz="8" w:space="0" w:color="00000A"/>
            </w:tcBorders>
            <w:shd w:val="clear" w:color="000000" w:fill="FFFFFF"/>
            <w:vAlign w:val="center"/>
            <w:hideMark/>
          </w:tcPr>
          <w:p w14:paraId="0475E2F8"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2 </w:t>
            </w:r>
          </w:p>
        </w:tc>
        <w:tc>
          <w:tcPr>
            <w:tcW w:w="0" w:type="auto"/>
            <w:tcBorders>
              <w:top w:val="nil"/>
              <w:left w:val="nil"/>
              <w:bottom w:val="single" w:sz="8" w:space="0" w:color="00000A"/>
              <w:right w:val="single" w:sz="8" w:space="0" w:color="00000A"/>
            </w:tcBorders>
            <w:shd w:val="clear" w:color="000000" w:fill="FFFFFF"/>
            <w:vAlign w:val="center"/>
            <w:hideMark/>
          </w:tcPr>
          <w:p w14:paraId="3990F326"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0 </w:t>
            </w:r>
          </w:p>
        </w:tc>
        <w:tc>
          <w:tcPr>
            <w:tcW w:w="0" w:type="auto"/>
            <w:tcBorders>
              <w:top w:val="nil"/>
              <w:left w:val="nil"/>
              <w:bottom w:val="single" w:sz="8" w:space="0" w:color="00000A"/>
              <w:right w:val="single" w:sz="8" w:space="0" w:color="00000A"/>
            </w:tcBorders>
            <w:shd w:val="clear" w:color="000000" w:fill="FFFFFF"/>
            <w:vAlign w:val="center"/>
            <w:hideMark/>
          </w:tcPr>
          <w:p w14:paraId="08CCD558" w14:textId="77777777" w:rsidR="00602DE8" w:rsidRPr="00EF27F0" w:rsidRDefault="00602DE8" w:rsidP="00024A05">
            <w:pPr>
              <w:tabs>
                <w:tab w:val="clear" w:pos="708"/>
              </w:tabs>
              <w:suppressAutoHyphens w:val="0"/>
              <w:rPr>
                <w:rFonts w:cs="Arial"/>
                <w:sz w:val="20"/>
                <w:szCs w:val="20"/>
              </w:rPr>
            </w:pPr>
            <w:r w:rsidRPr="00EF27F0">
              <w:rPr>
                <w:rFonts w:cs="Arial"/>
                <w:sz w:val="20"/>
                <w:szCs w:val="20"/>
              </w:rPr>
              <w:t xml:space="preserve">   6</w:t>
            </w:r>
          </w:p>
        </w:tc>
        <w:tc>
          <w:tcPr>
            <w:tcW w:w="0" w:type="auto"/>
            <w:tcBorders>
              <w:top w:val="nil"/>
              <w:left w:val="nil"/>
              <w:bottom w:val="single" w:sz="8" w:space="0" w:color="00000A"/>
              <w:right w:val="single" w:sz="8" w:space="0" w:color="00000A"/>
            </w:tcBorders>
            <w:shd w:val="clear" w:color="000000" w:fill="FFFFFF"/>
            <w:vAlign w:val="center"/>
            <w:hideMark/>
          </w:tcPr>
          <w:p w14:paraId="352150F5"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A2BA57D"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5778881F"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60AF3B0"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2D338C64"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r>
      <w:tr w:rsidR="00602DE8" w:rsidRPr="00EF27F0" w14:paraId="5A229442" w14:textId="77777777" w:rsidTr="00024A05">
        <w:trPr>
          <w:trHeight w:val="330"/>
        </w:trPr>
        <w:tc>
          <w:tcPr>
            <w:tcW w:w="0" w:type="auto"/>
            <w:tcBorders>
              <w:top w:val="nil"/>
              <w:left w:val="single" w:sz="8" w:space="0" w:color="00000A"/>
              <w:bottom w:val="nil"/>
              <w:right w:val="single" w:sz="8" w:space="0" w:color="00000A"/>
            </w:tcBorders>
            <w:shd w:val="clear" w:color="000000" w:fill="C0C0C0"/>
            <w:vAlign w:val="center"/>
            <w:hideMark/>
          </w:tcPr>
          <w:p w14:paraId="1572B12D" w14:textId="77777777" w:rsidR="00602DE8" w:rsidRPr="00EF27F0" w:rsidRDefault="00602DE8" w:rsidP="00024A05">
            <w:pPr>
              <w:tabs>
                <w:tab w:val="clear" w:pos="708"/>
              </w:tabs>
              <w:suppressAutoHyphens w:val="0"/>
            </w:pPr>
            <w:r w:rsidRPr="00EF27F0">
              <w:t>5</w:t>
            </w:r>
          </w:p>
        </w:tc>
        <w:tc>
          <w:tcPr>
            <w:tcW w:w="0" w:type="auto"/>
            <w:tcBorders>
              <w:top w:val="nil"/>
              <w:left w:val="nil"/>
              <w:bottom w:val="single" w:sz="8" w:space="0" w:color="00000A"/>
              <w:right w:val="single" w:sz="8" w:space="0" w:color="00000A"/>
            </w:tcBorders>
            <w:shd w:val="clear" w:color="000000" w:fill="C0C0C0"/>
            <w:vAlign w:val="center"/>
            <w:hideMark/>
          </w:tcPr>
          <w:p w14:paraId="6C03C6EA" w14:textId="77777777" w:rsidR="00602DE8" w:rsidRPr="00EF27F0" w:rsidRDefault="00602DE8" w:rsidP="00024A05">
            <w:pPr>
              <w:tabs>
                <w:tab w:val="clear" w:pos="708"/>
              </w:tabs>
              <w:suppressAutoHyphens w:val="0"/>
              <w:rPr>
                <w:rFonts w:cs="Arial"/>
                <w:sz w:val="20"/>
                <w:szCs w:val="20"/>
              </w:rPr>
            </w:pPr>
            <w:r w:rsidRPr="00EF27F0">
              <w:t>Identitet i državnost Bosne i Hercegovine u savremenom dobu (1878-2000)</w:t>
            </w:r>
          </w:p>
        </w:tc>
        <w:tc>
          <w:tcPr>
            <w:tcW w:w="0" w:type="auto"/>
            <w:tcBorders>
              <w:top w:val="nil"/>
              <w:left w:val="nil"/>
              <w:bottom w:val="single" w:sz="8" w:space="0" w:color="00000A"/>
              <w:right w:val="single" w:sz="8" w:space="0" w:color="00000A"/>
            </w:tcBorders>
            <w:shd w:val="clear" w:color="000000" w:fill="FFFFFF"/>
            <w:vAlign w:val="center"/>
            <w:hideMark/>
          </w:tcPr>
          <w:p w14:paraId="67F2E85B"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3</w:t>
            </w:r>
          </w:p>
        </w:tc>
        <w:tc>
          <w:tcPr>
            <w:tcW w:w="0" w:type="auto"/>
            <w:tcBorders>
              <w:top w:val="nil"/>
              <w:left w:val="nil"/>
              <w:bottom w:val="single" w:sz="8" w:space="0" w:color="00000A"/>
              <w:right w:val="single" w:sz="8" w:space="0" w:color="00000A"/>
            </w:tcBorders>
            <w:shd w:val="clear" w:color="000000" w:fill="FFFFFF"/>
            <w:vAlign w:val="center"/>
            <w:hideMark/>
          </w:tcPr>
          <w:p w14:paraId="6CC8D3E2"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1</w:t>
            </w:r>
          </w:p>
        </w:tc>
        <w:tc>
          <w:tcPr>
            <w:tcW w:w="0" w:type="auto"/>
            <w:tcBorders>
              <w:top w:val="nil"/>
              <w:left w:val="nil"/>
              <w:bottom w:val="single" w:sz="8" w:space="0" w:color="00000A"/>
              <w:right w:val="single" w:sz="8" w:space="0" w:color="00000A"/>
            </w:tcBorders>
            <w:shd w:val="clear" w:color="000000" w:fill="FFFFFF"/>
            <w:vAlign w:val="center"/>
            <w:hideMark/>
          </w:tcPr>
          <w:p w14:paraId="6F75635C"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0 </w:t>
            </w:r>
          </w:p>
        </w:tc>
        <w:tc>
          <w:tcPr>
            <w:tcW w:w="0" w:type="auto"/>
            <w:tcBorders>
              <w:top w:val="nil"/>
              <w:left w:val="nil"/>
              <w:bottom w:val="single" w:sz="8" w:space="0" w:color="00000A"/>
              <w:right w:val="single" w:sz="8" w:space="0" w:color="00000A"/>
            </w:tcBorders>
            <w:shd w:val="clear" w:color="000000" w:fill="FFFFFF"/>
            <w:vAlign w:val="center"/>
            <w:hideMark/>
          </w:tcPr>
          <w:p w14:paraId="0571ADBF"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6</w:t>
            </w:r>
          </w:p>
        </w:tc>
        <w:tc>
          <w:tcPr>
            <w:tcW w:w="0" w:type="auto"/>
            <w:tcBorders>
              <w:top w:val="nil"/>
              <w:left w:val="nil"/>
              <w:bottom w:val="single" w:sz="8" w:space="0" w:color="00000A"/>
              <w:right w:val="single" w:sz="8" w:space="0" w:color="00000A"/>
            </w:tcBorders>
            <w:shd w:val="clear" w:color="000000" w:fill="FFFFFF"/>
            <w:vAlign w:val="center"/>
            <w:hideMark/>
          </w:tcPr>
          <w:p w14:paraId="75232C75"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616D8DEC"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42EA75AB"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37B10048"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tc>
          <w:tcPr>
            <w:tcW w:w="0" w:type="auto"/>
            <w:tcBorders>
              <w:top w:val="nil"/>
              <w:left w:val="nil"/>
              <w:bottom w:val="single" w:sz="8" w:space="0" w:color="00000A"/>
              <w:right w:val="single" w:sz="8" w:space="0" w:color="00000A"/>
            </w:tcBorders>
            <w:shd w:val="clear" w:color="000000" w:fill="FFFFFF"/>
            <w:vAlign w:val="center"/>
            <w:hideMark/>
          </w:tcPr>
          <w:p w14:paraId="1C6497DC" w14:textId="77777777" w:rsidR="00602DE8" w:rsidRPr="00EF27F0" w:rsidRDefault="00602DE8" w:rsidP="00024A05">
            <w:pPr>
              <w:tabs>
                <w:tab w:val="clear" w:pos="708"/>
              </w:tabs>
              <w:suppressAutoHyphens w:val="0"/>
              <w:jc w:val="center"/>
              <w:rPr>
                <w:rFonts w:cs="Arial"/>
                <w:sz w:val="20"/>
                <w:szCs w:val="20"/>
              </w:rPr>
            </w:pPr>
            <w:r w:rsidRPr="00EF27F0">
              <w:rPr>
                <w:rFonts w:cs="Arial"/>
                <w:sz w:val="20"/>
                <w:szCs w:val="20"/>
              </w:rPr>
              <w:t> </w:t>
            </w:r>
          </w:p>
        </w:tc>
        <w:bookmarkStart w:id="1" w:name="_GoBack"/>
        <w:bookmarkEnd w:id="1"/>
      </w:tr>
      <w:tr w:rsidR="00602DE8" w:rsidRPr="00EF27F0" w14:paraId="30EE9962" w14:textId="77777777" w:rsidTr="00024A05">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7B9E90CC" w14:textId="77777777" w:rsidR="00602DE8" w:rsidRPr="00EF27F0" w:rsidRDefault="00602DE8" w:rsidP="00024A05">
            <w:pPr>
              <w:tabs>
                <w:tab w:val="clear" w:pos="708"/>
              </w:tabs>
              <w:suppressAutoHyphens w:val="0"/>
            </w:pPr>
            <w:r w:rsidRPr="00EF27F0">
              <w:t>6</w:t>
            </w:r>
          </w:p>
        </w:tc>
        <w:tc>
          <w:tcPr>
            <w:tcW w:w="0" w:type="auto"/>
            <w:tcBorders>
              <w:top w:val="nil"/>
              <w:left w:val="nil"/>
              <w:bottom w:val="single" w:sz="8" w:space="0" w:color="00000A"/>
              <w:right w:val="single" w:sz="8" w:space="0" w:color="00000A"/>
            </w:tcBorders>
            <w:shd w:val="clear" w:color="000000" w:fill="C0C0C0"/>
            <w:vAlign w:val="center"/>
            <w:hideMark/>
          </w:tcPr>
          <w:p w14:paraId="0D25E6BC" w14:textId="77777777" w:rsidR="00602DE8" w:rsidRPr="00EF27F0" w:rsidRDefault="00602DE8" w:rsidP="00024A05">
            <w:pPr>
              <w:tabs>
                <w:tab w:val="clear" w:pos="708"/>
              </w:tabs>
              <w:suppressAutoHyphens w:val="0"/>
              <w:rPr>
                <w:color w:val="auto"/>
              </w:rPr>
            </w:pPr>
            <w:r w:rsidRPr="00EF27F0">
              <w:rPr>
                <w:color w:val="auto"/>
              </w:rPr>
              <w:t>Završni magistraski rad*</w:t>
            </w:r>
          </w:p>
        </w:tc>
        <w:tc>
          <w:tcPr>
            <w:tcW w:w="0" w:type="auto"/>
            <w:tcBorders>
              <w:top w:val="nil"/>
              <w:left w:val="nil"/>
              <w:bottom w:val="single" w:sz="8" w:space="0" w:color="00000A"/>
              <w:right w:val="single" w:sz="8" w:space="0" w:color="00000A"/>
            </w:tcBorders>
            <w:shd w:val="clear" w:color="000000" w:fill="FFFFFF"/>
            <w:vAlign w:val="center"/>
            <w:hideMark/>
          </w:tcPr>
          <w:p w14:paraId="02118142"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single" w:sz="8" w:space="0" w:color="00000A"/>
              <w:right w:val="single" w:sz="8" w:space="0" w:color="00000A"/>
            </w:tcBorders>
            <w:shd w:val="clear" w:color="000000" w:fill="FFFFFF"/>
            <w:vAlign w:val="center"/>
            <w:hideMark/>
          </w:tcPr>
          <w:p w14:paraId="749874F9"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single" w:sz="8" w:space="0" w:color="00000A"/>
              <w:right w:val="single" w:sz="8" w:space="0" w:color="00000A"/>
            </w:tcBorders>
            <w:shd w:val="clear" w:color="000000" w:fill="FFFFFF"/>
            <w:vAlign w:val="center"/>
            <w:hideMark/>
          </w:tcPr>
          <w:p w14:paraId="17CC76EA"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nil"/>
              <w:right w:val="single" w:sz="8" w:space="0" w:color="00000A"/>
            </w:tcBorders>
            <w:shd w:val="clear" w:color="000000" w:fill="FFFFFF"/>
            <w:vAlign w:val="center"/>
            <w:hideMark/>
          </w:tcPr>
          <w:p w14:paraId="19FA9C31"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nil"/>
              <w:right w:val="single" w:sz="8" w:space="0" w:color="00000A"/>
            </w:tcBorders>
            <w:shd w:val="clear" w:color="000000" w:fill="FFFFFF"/>
            <w:vAlign w:val="center"/>
            <w:hideMark/>
          </w:tcPr>
          <w:p w14:paraId="3E46CB95"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nil"/>
              <w:right w:val="single" w:sz="8" w:space="0" w:color="00000A"/>
            </w:tcBorders>
            <w:shd w:val="clear" w:color="000000" w:fill="FFFFFF"/>
            <w:vAlign w:val="center"/>
            <w:hideMark/>
          </w:tcPr>
          <w:p w14:paraId="3CFCED6B"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nil"/>
              <w:right w:val="single" w:sz="8" w:space="0" w:color="00000A"/>
            </w:tcBorders>
            <w:shd w:val="clear" w:color="000000" w:fill="FFFFFF"/>
            <w:vAlign w:val="center"/>
            <w:hideMark/>
          </w:tcPr>
          <w:p w14:paraId="4E2CF6FD" w14:textId="77777777" w:rsidR="00602DE8" w:rsidRPr="00EF27F0" w:rsidRDefault="00602DE8" w:rsidP="00024A05">
            <w:pPr>
              <w:tabs>
                <w:tab w:val="clear" w:pos="708"/>
              </w:tabs>
              <w:suppressAutoHyphens w:val="0"/>
              <w:jc w:val="center"/>
              <w:rPr>
                <w:color w:val="auto"/>
              </w:rPr>
            </w:pPr>
            <w:r w:rsidRPr="00EF27F0">
              <w:rPr>
                <w:color w:val="auto"/>
              </w:rPr>
              <w:t> </w:t>
            </w:r>
          </w:p>
        </w:tc>
        <w:tc>
          <w:tcPr>
            <w:tcW w:w="0" w:type="auto"/>
            <w:tcBorders>
              <w:top w:val="nil"/>
              <w:left w:val="nil"/>
              <w:bottom w:val="nil"/>
              <w:right w:val="single" w:sz="8" w:space="0" w:color="00000A"/>
            </w:tcBorders>
            <w:shd w:val="clear" w:color="000000" w:fill="FFFFFF"/>
            <w:vAlign w:val="center"/>
            <w:hideMark/>
          </w:tcPr>
          <w:p w14:paraId="2E0C2EF0" w14:textId="77777777" w:rsidR="00602DE8" w:rsidRPr="00EF27F0" w:rsidRDefault="00602DE8" w:rsidP="00024A05">
            <w:pPr>
              <w:tabs>
                <w:tab w:val="clear" w:pos="708"/>
              </w:tabs>
              <w:suppressAutoHyphens w:val="0"/>
              <w:jc w:val="center"/>
              <w:rPr>
                <w:color w:val="auto"/>
              </w:rPr>
            </w:pPr>
            <w:r w:rsidRPr="00EF27F0">
              <w:rPr>
                <w:color w:val="auto"/>
              </w:rPr>
              <w:t>20</w:t>
            </w:r>
          </w:p>
        </w:tc>
        <w:tc>
          <w:tcPr>
            <w:tcW w:w="0" w:type="auto"/>
            <w:tcBorders>
              <w:top w:val="nil"/>
              <w:left w:val="nil"/>
              <w:bottom w:val="nil"/>
              <w:right w:val="single" w:sz="8" w:space="0" w:color="00000A"/>
            </w:tcBorders>
            <w:shd w:val="clear" w:color="000000" w:fill="FFFFFF"/>
            <w:vAlign w:val="center"/>
            <w:hideMark/>
          </w:tcPr>
          <w:p w14:paraId="24717DAA" w14:textId="77777777" w:rsidR="00602DE8" w:rsidRPr="00EF27F0" w:rsidRDefault="00602DE8" w:rsidP="00024A05">
            <w:pPr>
              <w:tabs>
                <w:tab w:val="clear" w:pos="708"/>
              </w:tabs>
              <w:suppressAutoHyphens w:val="0"/>
              <w:jc w:val="center"/>
              <w:rPr>
                <w:color w:val="auto"/>
              </w:rPr>
            </w:pPr>
            <w:r w:rsidRPr="00EF27F0">
              <w:rPr>
                <w:color w:val="auto"/>
              </w:rPr>
              <w:t>30</w:t>
            </w:r>
          </w:p>
        </w:tc>
      </w:tr>
      <w:tr w:rsidR="00602DE8" w:rsidRPr="00EF27F0" w14:paraId="46B80F01" w14:textId="77777777" w:rsidTr="00024A05">
        <w:trPr>
          <w:trHeight w:val="330"/>
        </w:trPr>
        <w:tc>
          <w:tcPr>
            <w:tcW w:w="0" w:type="auto"/>
            <w:tcBorders>
              <w:top w:val="nil"/>
              <w:left w:val="single" w:sz="8" w:space="0" w:color="00000A"/>
              <w:bottom w:val="single" w:sz="8" w:space="0" w:color="00000A"/>
              <w:right w:val="nil"/>
            </w:tcBorders>
            <w:shd w:val="clear" w:color="000000" w:fill="C0C0C0"/>
            <w:vAlign w:val="center"/>
            <w:hideMark/>
          </w:tcPr>
          <w:p w14:paraId="4C7F0809" w14:textId="77777777" w:rsidR="00602DE8" w:rsidRPr="00EF27F0" w:rsidRDefault="00602DE8" w:rsidP="00024A05">
            <w:pPr>
              <w:tabs>
                <w:tab w:val="clear" w:pos="708"/>
              </w:tabs>
              <w:suppressAutoHyphens w:val="0"/>
            </w:pPr>
            <w:r w:rsidRPr="00EF27F0">
              <w:t> </w:t>
            </w:r>
          </w:p>
        </w:tc>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40642D64" w14:textId="77777777" w:rsidR="00602DE8" w:rsidRPr="00EF27F0" w:rsidRDefault="00602DE8" w:rsidP="00024A05">
            <w:pPr>
              <w:tabs>
                <w:tab w:val="clear" w:pos="708"/>
              </w:tabs>
              <w:suppressAutoHyphens w:val="0"/>
              <w:rPr>
                <w:rFonts w:cs="Arial"/>
                <w:b/>
                <w:bCs/>
                <w:sz w:val="20"/>
                <w:szCs w:val="20"/>
              </w:rPr>
            </w:pPr>
            <w:r w:rsidRPr="00EF27F0">
              <w:rPr>
                <w:rFonts w:cs="Arial"/>
                <w:b/>
                <w:bCs/>
                <w:sz w:val="20"/>
                <w:szCs w:val="20"/>
              </w:rPr>
              <w:t>Ukupno obaveznih*</w:t>
            </w:r>
          </w:p>
        </w:tc>
        <w:tc>
          <w:tcPr>
            <w:tcW w:w="0" w:type="auto"/>
            <w:tcBorders>
              <w:top w:val="nil"/>
              <w:left w:val="nil"/>
              <w:bottom w:val="single" w:sz="8" w:space="0" w:color="00000A"/>
              <w:right w:val="single" w:sz="8" w:space="0" w:color="00000A"/>
            </w:tcBorders>
            <w:shd w:val="clear" w:color="000000" w:fill="C0C0C0"/>
            <w:vAlign w:val="center"/>
            <w:hideMark/>
          </w:tcPr>
          <w:p w14:paraId="5E2E3349"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12</w:t>
            </w:r>
          </w:p>
        </w:tc>
        <w:tc>
          <w:tcPr>
            <w:tcW w:w="0" w:type="auto"/>
            <w:tcBorders>
              <w:top w:val="nil"/>
              <w:left w:val="nil"/>
              <w:bottom w:val="single" w:sz="8" w:space="0" w:color="00000A"/>
              <w:right w:val="single" w:sz="8" w:space="0" w:color="00000A"/>
            </w:tcBorders>
            <w:shd w:val="clear" w:color="000000" w:fill="C0C0C0"/>
            <w:vAlign w:val="center"/>
            <w:hideMark/>
          </w:tcPr>
          <w:p w14:paraId="2D726F2E"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8</w:t>
            </w:r>
          </w:p>
        </w:tc>
        <w:tc>
          <w:tcPr>
            <w:tcW w:w="0" w:type="auto"/>
            <w:tcBorders>
              <w:top w:val="nil"/>
              <w:left w:val="nil"/>
              <w:bottom w:val="single" w:sz="8" w:space="0" w:color="00000A"/>
              <w:right w:val="nil"/>
            </w:tcBorders>
            <w:shd w:val="clear" w:color="000000" w:fill="C0C0C0"/>
            <w:vAlign w:val="center"/>
            <w:hideMark/>
          </w:tcPr>
          <w:p w14:paraId="1A2014A0"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0</w:t>
            </w:r>
          </w:p>
        </w:tc>
        <w:tc>
          <w:tcPr>
            <w:tcW w:w="0" w:type="auto"/>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14:paraId="5BC3FA97"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30</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0871631A"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00F393AC"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1B74DBF1"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 </w:t>
            </w:r>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6D2677B4"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 </w:t>
            </w:r>
          </w:p>
        </w:tc>
        <w:tc>
          <w:tcPr>
            <w:tcW w:w="0" w:type="auto"/>
            <w:vMerge w:val="restart"/>
            <w:tcBorders>
              <w:top w:val="single" w:sz="8" w:space="0" w:color="auto"/>
              <w:left w:val="nil"/>
              <w:bottom w:val="single" w:sz="8" w:space="0" w:color="000000"/>
              <w:right w:val="single" w:sz="8" w:space="0" w:color="auto"/>
            </w:tcBorders>
            <w:shd w:val="clear" w:color="000000" w:fill="C0C0C0"/>
            <w:vAlign w:val="center"/>
            <w:hideMark/>
          </w:tcPr>
          <w:p w14:paraId="77CB20D9"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30</w:t>
            </w:r>
          </w:p>
        </w:tc>
      </w:tr>
      <w:tr w:rsidR="00602DE8" w:rsidRPr="00EF27F0" w14:paraId="153B42D1" w14:textId="77777777" w:rsidTr="00024A05">
        <w:trPr>
          <w:trHeight w:val="330"/>
        </w:trPr>
        <w:tc>
          <w:tcPr>
            <w:tcW w:w="0" w:type="auto"/>
            <w:tcBorders>
              <w:top w:val="nil"/>
              <w:left w:val="single" w:sz="8" w:space="0" w:color="00000A"/>
              <w:bottom w:val="single" w:sz="8" w:space="0" w:color="00000A"/>
              <w:right w:val="single" w:sz="8" w:space="0" w:color="00000A"/>
            </w:tcBorders>
            <w:shd w:val="clear" w:color="000000" w:fill="C0C0C0"/>
            <w:vAlign w:val="center"/>
            <w:hideMark/>
          </w:tcPr>
          <w:p w14:paraId="1E24820A" w14:textId="77777777" w:rsidR="00602DE8" w:rsidRPr="00EF27F0" w:rsidRDefault="00602DE8" w:rsidP="00024A05">
            <w:pPr>
              <w:tabs>
                <w:tab w:val="clear" w:pos="708"/>
              </w:tabs>
              <w:suppressAutoHyphens w:val="0"/>
            </w:pPr>
            <w:r w:rsidRPr="00EF27F0">
              <w:t> </w:t>
            </w:r>
          </w:p>
        </w:tc>
        <w:tc>
          <w:tcPr>
            <w:tcW w:w="0" w:type="auto"/>
            <w:tcBorders>
              <w:top w:val="nil"/>
              <w:left w:val="nil"/>
              <w:bottom w:val="single" w:sz="8" w:space="0" w:color="00000A"/>
              <w:right w:val="single" w:sz="8" w:space="0" w:color="00000A"/>
            </w:tcBorders>
            <w:shd w:val="clear" w:color="000000" w:fill="C0C0C0"/>
            <w:vAlign w:val="center"/>
            <w:hideMark/>
          </w:tcPr>
          <w:p w14:paraId="799D89F4" w14:textId="77777777" w:rsidR="00602DE8" w:rsidRPr="00EF27F0" w:rsidRDefault="00602DE8" w:rsidP="00024A05">
            <w:pPr>
              <w:tabs>
                <w:tab w:val="clear" w:pos="708"/>
              </w:tabs>
              <w:suppressAutoHyphens w:val="0"/>
              <w:rPr>
                <w:rFonts w:cs="Arial"/>
                <w:b/>
                <w:bCs/>
                <w:sz w:val="20"/>
                <w:szCs w:val="20"/>
              </w:rPr>
            </w:pPr>
            <w:r w:rsidRPr="00EF27F0">
              <w:rPr>
                <w:rFonts w:cs="Arial"/>
                <w:b/>
                <w:bCs/>
                <w:sz w:val="20"/>
                <w:szCs w:val="20"/>
              </w:rPr>
              <w:t>Ukupno sati/ECTS</w:t>
            </w:r>
          </w:p>
        </w:tc>
        <w:tc>
          <w:tcPr>
            <w:tcW w:w="0" w:type="auto"/>
            <w:gridSpan w:val="3"/>
            <w:tcBorders>
              <w:top w:val="single" w:sz="8" w:space="0" w:color="00000A"/>
              <w:left w:val="nil"/>
              <w:bottom w:val="single" w:sz="8" w:space="0" w:color="00000A"/>
              <w:right w:val="nil"/>
            </w:tcBorders>
            <w:shd w:val="clear" w:color="000000" w:fill="C0C0C0"/>
            <w:vAlign w:val="center"/>
            <w:hideMark/>
          </w:tcPr>
          <w:p w14:paraId="2BC24B0E"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20</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C623D6" w14:textId="77777777" w:rsidR="00602DE8" w:rsidRPr="00EF27F0" w:rsidRDefault="00602DE8" w:rsidP="00024A05">
            <w:pPr>
              <w:tabs>
                <w:tab w:val="clear" w:pos="708"/>
              </w:tabs>
              <w:suppressAutoHyphens w:val="0"/>
              <w:rPr>
                <w:rFonts w:cs="Arial"/>
                <w:b/>
                <w:bCs/>
                <w:sz w:val="20"/>
                <w:szCs w:val="20"/>
              </w:rPr>
            </w:pPr>
          </w:p>
        </w:tc>
        <w:tc>
          <w:tcPr>
            <w:tcW w:w="0" w:type="auto"/>
            <w:gridSpan w:val="3"/>
            <w:tcBorders>
              <w:top w:val="single" w:sz="8" w:space="0" w:color="auto"/>
              <w:left w:val="nil"/>
              <w:bottom w:val="single" w:sz="8" w:space="0" w:color="auto"/>
              <w:right w:val="single" w:sz="8" w:space="0" w:color="000000"/>
            </w:tcBorders>
            <w:shd w:val="clear" w:color="000000" w:fill="C0C0C0"/>
            <w:vAlign w:val="center"/>
            <w:hideMark/>
          </w:tcPr>
          <w:p w14:paraId="6759BB15" w14:textId="77777777"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 </w:t>
            </w:r>
          </w:p>
        </w:tc>
        <w:tc>
          <w:tcPr>
            <w:tcW w:w="0" w:type="auto"/>
            <w:tcBorders>
              <w:top w:val="nil"/>
              <w:left w:val="nil"/>
              <w:bottom w:val="single" w:sz="8" w:space="0" w:color="auto"/>
              <w:right w:val="single" w:sz="8" w:space="0" w:color="auto"/>
            </w:tcBorders>
            <w:shd w:val="clear" w:color="000000" w:fill="C0C0C0"/>
            <w:vAlign w:val="center"/>
            <w:hideMark/>
          </w:tcPr>
          <w:p w14:paraId="786AF582" w14:textId="4892EB81" w:rsidR="00602DE8" w:rsidRPr="00EF27F0" w:rsidRDefault="00602DE8" w:rsidP="00024A05">
            <w:pPr>
              <w:tabs>
                <w:tab w:val="clear" w:pos="708"/>
              </w:tabs>
              <w:suppressAutoHyphens w:val="0"/>
              <w:jc w:val="center"/>
              <w:rPr>
                <w:rFonts w:cs="Arial"/>
                <w:b/>
                <w:bCs/>
                <w:sz w:val="20"/>
                <w:szCs w:val="20"/>
              </w:rPr>
            </w:pPr>
            <w:r w:rsidRPr="00EF27F0">
              <w:rPr>
                <w:rFonts w:cs="Arial"/>
                <w:b/>
                <w:bCs/>
                <w:sz w:val="20"/>
                <w:szCs w:val="20"/>
              </w:rPr>
              <w:t> </w:t>
            </w:r>
            <w:r w:rsidR="002216D6">
              <w:rPr>
                <w:rFonts w:cs="Arial"/>
                <w:b/>
                <w:bCs/>
                <w:sz w:val="20"/>
                <w:szCs w:val="20"/>
              </w:rPr>
              <w:t>20</w:t>
            </w:r>
          </w:p>
        </w:tc>
        <w:tc>
          <w:tcPr>
            <w:tcW w:w="0" w:type="auto"/>
            <w:vMerge/>
            <w:tcBorders>
              <w:top w:val="single" w:sz="8" w:space="0" w:color="auto"/>
              <w:left w:val="nil"/>
              <w:bottom w:val="single" w:sz="8" w:space="0" w:color="000000"/>
              <w:right w:val="single" w:sz="8" w:space="0" w:color="auto"/>
            </w:tcBorders>
            <w:vAlign w:val="center"/>
            <w:hideMark/>
          </w:tcPr>
          <w:p w14:paraId="3A59771C" w14:textId="77777777" w:rsidR="00602DE8" w:rsidRPr="00EF27F0" w:rsidRDefault="00602DE8" w:rsidP="00024A05">
            <w:pPr>
              <w:tabs>
                <w:tab w:val="clear" w:pos="708"/>
              </w:tabs>
              <w:suppressAutoHyphens w:val="0"/>
              <w:rPr>
                <w:rFonts w:cs="Arial"/>
                <w:b/>
                <w:bCs/>
                <w:sz w:val="20"/>
                <w:szCs w:val="20"/>
              </w:rPr>
            </w:pPr>
          </w:p>
        </w:tc>
      </w:tr>
    </w:tbl>
    <w:p w14:paraId="1D55E406" w14:textId="77777777" w:rsidR="00280DCA" w:rsidRPr="00EF27F0" w:rsidRDefault="00280DCA" w:rsidP="00762CEB">
      <w:pPr>
        <w:suppressAutoHyphens w:val="0"/>
        <w:spacing w:line="360" w:lineRule="auto"/>
        <w:jc w:val="both"/>
        <w:rPr>
          <w:lang w:val="hr-HR" w:eastAsia="en-US"/>
        </w:rPr>
      </w:pPr>
    </w:p>
    <w:p w14:paraId="75ABD4C3" w14:textId="77777777" w:rsidR="00280DCA" w:rsidRPr="00EF27F0" w:rsidRDefault="00280DCA" w:rsidP="00762CEB">
      <w:pPr>
        <w:suppressAutoHyphens w:val="0"/>
        <w:spacing w:line="360" w:lineRule="auto"/>
        <w:jc w:val="both"/>
        <w:rPr>
          <w:lang w:eastAsia="en-US"/>
        </w:rPr>
      </w:pPr>
      <w:r w:rsidRPr="00EF27F0">
        <w:rPr>
          <w:lang w:eastAsia="en-US"/>
        </w:rPr>
        <w:t>*Previđeni fond sati na Završnom master radu odnosi se na individualne kontakt sate kandidata sa mentorom i nastavnicima na pripremi i izradi završnog rada</w:t>
      </w:r>
    </w:p>
    <w:p w14:paraId="5C0E44AF" w14:textId="77777777" w:rsidR="00280DCA" w:rsidRPr="00EF27F0" w:rsidRDefault="00280DCA" w:rsidP="00762CEB">
      <w:pPr>
        <w:pStyle w:val="NoSpacing"/>
        <w:spacing w:line="360" w:lineRule="auto"/>
        <w:jc w:val="both"/>
        <w:rPr>
          <w:rFonts w:ascii="Cambria" w:hAnsi="Cambria"/>
          <w:sz w:val="24"/>
          <w:szCs w:val="24"/>
          <w:lang w:val="bs-Latn-BA"/>
        </w:rPr>
      </w:pPr>
    </w:p>
    <w:p w14:paraId="2A6DD38E" w14:textId="77777777" w:rsidR="00280DCA" w:rsidRPr="00EF27F0" w:rsidRDefault="00280DCA" w:rsidP="00762CEB">
      <w:pPr>
        <w:pStyle w:val="NoSpacing"/>
        <w:spacing w:line="360" w:lineRule="auto"/>
        <w:jc w:val="both"/>
        <w:rPr>
          <w:rFonts w:ascii="Cambria" w:hAnsi="Cambria"/>
          <w:sz w:val="24"/>
          <w:szCs w:val="24"/>
          <w:lang w:val="pl-PL"/>
        </w:rPr>
      </w:pPr>
      <w:r w:rsidRPr="00EF27F0">
        <w:rPr>
          <w:rFonts w:ascii="Cambria" w:hAnsi="Cambria"/>
          <w:sz w:val="24"/>
          <w:szCs w:val="24"/>
          <w:lang w:val="pl-PL"/>
        </w:rPr>
        <w:t>*SILABUSI PREDMETA DATI SU U PRILOGU</w:t>
      </w:r>
    </w:p>
    <w:p w14:paraId="5259AA3A" w14:textId="77777777" w:rsidR="00280DCA" w:rsidRPr="00EF27F0" w:rsidRDefault="00280DCA" w:rsidP="00762CEB">
      <w:pPr>
        <w:pStyle w:val="NoSpacing"/>
        <w:spacing w:line="360" w:lineRule="auto"/>
        <w:jc w:val="both"/>
        <w:rPr>
          <w:rFonts w:ascii="Cambria" w:hAnsi="Cambria"/>
          <w:sz w:val="24"/>
          <w:szCs w:val="24"/>
          <w:lang w:val="pl-PL"/>
        </w:rPr>
      </w:pPr>
    </w:p>
    <w:p w14:paraId="54E46363" w14:textId="77777777" w:rsidR="00280DCA" w:rsidRPr="00EF27F0" w:rsidRDefault="00280DCA" w:rsidP="00762CEB">
      <w:pPr>
        <w:pStyle w:val="NoSpacing"/>
        <w:spacing w:line="360" w:lineRule="auto"/>
        <w:jc w:val="both"/>
        <w:rPr>
          <w:rFonts w:ascii="Cambria" w:hAnsi="Cambria"/>
          <w:sz w:val="24"/>
          <w:szCs w:val="24"/>
          <w:lang w:val="pl-PL"/>
        </w:rPr>
      </w:pPr>
      <w:r w:rsidRPr="00EF27F0">
        <w:rPr>
          <w:rFonts w:ascii="Cambria" w:hAnsi="Cambria"/>
          <w:sz w:val="24"/>
          <w:szCs w:val="24"/>
          <w:lang w:val="pl-PL"/>
        </w:rPr>
        <w:tab/>
        <w:t xml:space="preserve">Način organizacije nastave i obavljanja ispita regulisan je odgovarajućim aktima i propisima Univerziteta u Tuzli koji se odnose na ovu oblast. </w:t>
      </w:r>
    </w:p>
    <w:p w14:paraId="58C5B184" w14:textId="77777777" w:rsidR="00280DCA" w:rsidRPr="00EF27F0" w:rsidRDefault="00280DCA" w:rsidP="00762CEB">
      <w:pPr>
        <w:pStyle w:val="NoSpacing"/>
        <w:spacing w:line="360" w:lineRule="auto"/>
        <w:jc w:val="both"/>
        <w:rPr>
          <w:rFonts w:ascii="Cambria" w:hAnsi="Cambria"/>
          <w:sz w:val="24"/>
          <w:szCs w:val="24"/>
          <w:lang w:val="pl-PL"/>
        </w:rPr>
      </w:pPr>
    </w:p>
    <w:p w14:paraId="33380C04" w14:textId="77777777" w:rsidR="00280DCA" w:rsidRPr="00EF27F0" w:rsidRDefault="00280DCA" w:rsidP="00762CEB">
      <w:pPr>
        <w:pStyle w:val="NoSpacing"/>
        <w:numPr>
          <w:ilvl w:val="1"/>
          <w:numId w:val="1"/>
        </w:numPr>
        <w:spacing w:line="360" w:lineRule="auto"/>
        <w:jc w:val="both"/>
        <w:rPr>
          <w:rFonts w:ascii="Cambria" w:hAnsi="Cambria"/>
          <w:b/>
          <w:sz w:val="24"/>
          <w:szCs w:val="24"/>
        </w:rPr>
      </w:pPr>
      <w:r w:rsidRPr="00EF27F0">
        <w:rPr>
          <w:rFonts w:ascii="Cambria" w:hAnsi="Cambria"/>
          <w:b/>
          <w:sz w:val="24"/>
          <w:szCs w:val="24"/>
          <w:lang w:val="pl-PL"/>
        </w:rPr>
        <w:t xml:space="preserve"> </w:t>
      </w:r>
      <w:proofErr w:type="spellStart"/>
      <w:r w:rsidRPr="00EF27F0">
        <w:rPr>
          <w:rFonts w:ascii="Cambria" w:hAnsi="Cambria"/>
          <w:b/>
          <w:sz w:val="24"/>
          <w:szCs w:val="24"/>
        </w:rPr>
        <w:t>Opis</w:t>
      </w:r>
      <w:proofErr w:type="spellEnd"/>
      <w:r w:rsidRPr="00EF27F0">
        <w:rPr>
          <w:rFonts w:ascii="Cambria" w:hAnsi="Cambria"/>
          <w:b/>
          <w:sz w:val="24"/>
          <w:szCs w:val="24"/>
        </w:rPr>
        <w:t xml:space="preserve"> </w:t>
      </w:r>
      <w:proofErr w:type="spellStart"/>
      <w:r w:rsidRPr="00EF27F0">
        <w:rPr>
          <w:rFonts w:ascii="Cambria" w:hAnsi="Cambria"/>
          <w:b/>
          <w:sz w:val="24"/>
          <w:szCs w:val="24"/>
        </w:rPr>
        <w:t>programa</w:t>
      </w:r>
      <w:proofErr w:type="spellEnd"/>
    </w:p>
    <w:p w14:paraId="0831C0FC" w14:textId="77777777" w:rsidR="00280DCA" w:rsidRPr="00EF27F0" w:rsidRDefault="00280DCA" w:rsidP="00762CEB">
      <w:pPr>
        <w:pStyle w:val="NoSpacing"/>
        <w:spacing w:line="360" w:lineRule="auto"/>
        <w:ind w:left="360"/>
        <w:jc w:val="both"/>
        <w:rPr>
          <w:rFonts w:ascii="Cambria" w:hAnsi="Cambria"/>
          <w:b/>
          <w:sz w:val="24"/>
          <w:szCs w:val="24"/>
        </w:rPr>
      </w:pPr>
    </w:p>
    <w:p w14:paraId="77C53A9E" w14:textId="4013052B" w:rsidR="00280DCA" w:rsidRPr="00EF27F0" w:rsidRDefault="00280DCA" w:rsidP="00762CEB">
      <w:pPr>
        <w:widowControl w:val="0"/>
        <w:jc w:val="both"/>
        <w:rPr>
          <w:rFonts w:eastAsia="Courier New"/>
          <w:color w:val="FF0000"/>
          <w:lang w:val="hr-HR" w:eastAsia="hr-HR" w:bidi="hr-HR"/>
        </w:rPr>
      </w:pPr>
      <w:r w:rsidRPr="00EF27F0">
        <w:rPr>
          <w:rFonts w:eastAsia="Courier New"/>
          <w:lang w:val="hr-HR" w:eastAsia="hr-HR" w:bidi="hr-HR"/>
        </w:rPr>
        <w:t xml:space="preserve">U toku studija polaznici slušaju i polažu </w:t>
      </w:r>
      <w:r w:rsidR="00C12D4C">
        <w:rPr>
          <w:rFonts w:eastAsia="Courier New"/>
          <w:lang w:val="hr-HR" w:eastAsia="hr-HR" w:bidi="hr-HR"/>
        </w:rPr>
        <w:t>5</w:t>
      </w:r>
      <w:r w:rsidRPr="00EF27F0">
        <w:rPr>
          <w:rFonts w:eastAsia="Courier New"/>
          <w:lang w:val="hr-HR" w:eastAsia="hr-HR" w:bidi="hr-HR"/>
        </w:rPr>
        <w:t xml:space="preserve"> predmeta:</w:t>
      </w:r>
    </w:p>
    <w:p w14:paraId="6466ACA4" w14:textId="77777777" w:rsidR="00280DCA" w:rsidRPr="00EF27F0" w:rsidRDefault="00280DCA" w:rsidP="00762CEB">
      <w:pPr>
        <w:widowControl w:val="0"/>
        <w:jc w:val="both"/>
        <w:rPr>
          <w:rFonts w:eastAsia="Courier New"/>
          <w:color w:val="FF0000"/>
          <w:lang w:val="hr-HR" w:eastAsia="hr-HR" w:bidi="hr-HR"/>
        </w:rPr>
      </w:pPr>
    </w:p>
    <w:p w14:paraId="5D027B38" w14:textId="77777777" w:rsidR="009705FC" w:rsidRPr="00EF27F0" w:rsidRDefault="009705FC" w:rsidP="009705FC">
      <w:pPr>
        <w:widowControl w:val="0"/>
        <w:numPr>
          <w:ilvl w:val="0"/>
          <w:numId w:val="3"/>
        </w:numPr>
        <w:tabs>
          <w:tab w:val="clear" w:pos="708"/>
          <w:tab w:val="left" w:pos="1067"/>
        </w:tabs>
        <w:suppressAutoHyphens w:val="0"/>
        <w:spacing w:line="360" w:lineRule="auto"/>
        <w:ind w:left="760"/>
        <w:jc w:val="both"/>
      </w:pPr>
      <w:r w:rsidRPr="00EF27F0">
        <w:rPr>
          <w:rFonts w:eastAsia="Courier New"/>
          <w:lang w:val="hr-HR" w:eastAsia="hr-HR" w:bidi="hr-HR"/>
        </w:rPr>
        <w:t xml:space="preserve">Metodologija historijskih istraživanja sa osnovama historiografije Bosne i Hercegovine </w:t>
      </w:r>
    </w:p>
    <w:p w14:paraId="09AAB03D" w14:textId="77777777" w:rsidR="009705FC" w:rsidRPr="00EF27F0" w:rsidRDefault="009705FC" w:rsidP="009705FC">
      <w:pPr>
        <w:widowControl w:val="0"/>
        <w:numPr>
          <w:ilvl w:val="0"/>
          <w:numId w:val="3"/>
        </w:numPr>
        <w:tabs>
          <w:tab w:val="clear" w:pos="708"/>
          <w:tab w:val="left" w:pos="1067"/>
        </w:tabs>
        <w:suppressAutoHyphens w:val="0"/>
        <w:spacing w:line="360" w:lineRule="auto"/>
        <w:ind w:left="760"/>
        <w:jc w:val="both"/>
      </w:pPr>
      <w:r w:rsidRPr="00EF27F0">
        <w:t>Korijeni Bosne i bosanskog društva</w:t>
      </w:r>
    </w:p>
    <w:p w14:paraId="7624B02E" w14:textId="77777777" w:rsidR="009705FC" w:rsidRPr="00EF27F0" w:rsidRDefault="009705FC" w:rsidP="009705FC">
      <w:pPr>
        <w:widowControl w:val="0"/>
        <w:numPr>
          <w:ilvl w:val="0"/>
          <w:numId w:val="3"/>
        </w:numPr>
        <w:tabs>
          <w:tab w:val="clear" w:pos="708"/>
          <w:tab w:val="left" w:pos="1067"/>
        </w:tabs>
        <w:suppressAutoHyphens w:val="0"/>
        <w:spacing w:line="360" w:lineRule="auto"/>
        <w:ind w:left="760"/>
        <w:jc w:val="both"/>
      </w:pPr>
      <w:r w:rsidRPr="00EF27F0">
        <w:t xml:space="preserve">Bosanske zemlje u srednjem vijeku </w:t>
      </w:r>
    </w:p>
    <w:p w14:paraId="0DC94924" w14:textId="77777777" w:rsidR="009705FC" w:rsidRPr="00EF27F0" w:rsidRDefault="009705FC" w:rsidP="009705FC">
      <w:pPr>
        <w:widowControl w:val="0"/>
        <w:numPr>
          <w:ilvl w:val="0"/>
          <w:numId w:val="3"/>
        </w:numPr>
        <w:tabs>
          <w:tab w:val="clear" w:pos="708"/>
          <w:tab w:val="left" w:pos="1067"/>
        </w:tabs>
        <w:suppressAutoHyphens w:val="0"/>
        <w:spacing w:line="360" w:lineRule="auto"/>
        <w:ind w:left="760"/>
        <w:jc w:val="both"/>
      </w:pPr>
      <w:r w:rsidRPr="00EF27F0">
        <w:t>Bosna i Hercegovina u novom vijeku: kontinuitet identiteta i posebnosti (državnosti) (1463-1878)</w:t>
      </w:r>
    </w:p>
    <w:p w14:paraId="3F3CAA87" w14:textId="77777777" w:rsidR="009705FC" w:rsidRPr="00EF27F0" w:rsidRDefault="009705FC" w:rsidP="009705FC">
      <w:pPr>
        <w:widowControl w:val="0"/>
        <w:numPr>
          <w:ilvl w:val="0"/>
          <w:numId w:val="3"/>
        </w:numPr>
        <w:tabs>
          <w:tab w:val="clear" w:pos="708"/>
          <w:tab w:val="left" w:pos="1067"/>
        </w:tabs>
        <w:suppressAutoHyphens w:val="0"/>
        <w:spacing w:line="360" w:lineRule="auto"/>
        <w:ind w:left="760"/>
        <w:jc w:val="both"/>
      </w:pPr>
      <w:r w:rsidRPr="00EF27F0">
        <w:t>Identitet i državnost Bosne i Hercegovine u savremenom dobu (1878-2000)</w:t>
      </w:r>
    </w:p>
    <w:p w14:paraId="24A3AAC6" w14:textId="77777777" w:rsidR="009705FC" w:rsidRPr="00EF27F0" w:rsidRDefault="009705FC" w:rsidP="005D26B9"/>
    <w:tbl>
      <w:tblPr>
        <w:tblpPr w:leftFromText="180" w:rightFromText="180" w:bottomFromText="160" w:vertAnchor="text" w:horzAnchor="margin" w:tblpX="-318" w:tblpY="541"/>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3389"/>
        <w:gridCol w:w="1479"/>
        <w:gridCol w:w="1910"/>
      </w:tblGrid>
      <w:tr w:rsidR="00A02541" w:rsidRPr="002271E2" w14:paraId="4BC3818E" w14:textId="77777777" w:rsidTr="00A02541">
        <w:trPr>
          <w:trHeight w:val="268"/>
        </w:trPr>
        <w:tc>
          <w:tcPr>
            <w:tcW w:w="8575"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558C450" w14:textId="77777777" w:rsidR="00A02541" w:rsidRPr="002271E2" w:rsidRDefault="00A02541" w:rsidP="00A02541">
            <w:pPr>
              <w:rPr>
                <w:color w:val="auto"/>
                <w:lang w:val="hr-HR" w:eastAsia="en-US"/>
              </w:rPr>
            </w:pPr>
            <w:r w:rsidRPr="002271E2">
              <w:rPr>
                <w:lang w:val="hr-HR"/>
              </w:rPr>
              <w:t xml:space="preserve">Naziv predmeta: </w:t>
            </w:r>
            <w:proofErr w:type="spellStart"/>
            <w:r w:rsidRPr="002271E2">
              <w:rPr>
                <w:b/>
                <w:bCs/>
                <w:lang w:val="en-US"/>
              </w:rPr>
              <w:t>Metodologija</w:t>
            </w:r>
            <w:proofErr w:type="spellEnd"/>
            <w:r w:rsidRPr="002271E2">
              <w:rPr>
                <w:b/>
                <w:bCs/>
                <w:lang w:val="en-US"/>
              </w:rPr>
              <w:t xml:space="preserve"> </w:t>
            </w:r>
            <w:proofErr w:type="spellStart"/>
            <w:r w:rsidRPr="002271E2">
              <w:rPr>
                <w:b/>
                <w:bCs/>
                <w:lang w:val="en-US"/>
              </w:rPr>
              <w:t>historijskih</w:t>
            </w:r>
            <w:proofErr w:type="spellEnd"/>
            <w:r w:rsidRPr="002271E2">
              <w:rPr>
                <w:b/>
                <w:bCs/>
                <w:lang w:val="en-US"/>
              </w:rPr>
              <w:t xml:space="preserve"> </w:t>
            </w:r>
            <w:proofErr w:type="spellStart"/>
            <w:r w:rsidRPr="002271E2">
              <w:rPr>
                <w:b/>
                <w:bCs/>
                <w:lang w:val="en-US"/>
              </w:rPr>
              <w:t>istraživanja</w:t>
            </w:r>
            <w:proofErr w:type="spellEnd"/>
            <w:r w:rsidRPr="002271E2">
              <w:rPr>
                <w:b/>
                <w:bCs/>
                <w:lang w:val="en-US"/>
              </w:rPr>
              <w:t xml:space="preserve"> </w:t>
            </w:r>
            <w:proofErr w:type="spellStart"/>
            <w:r w:rsidRPr="002271E2">
              <w:rPr>
                <w:b/>
                <w:bCs/>
                <w:lang w:val="en-US"/>
              </w:rPr>
              <w:t>sa</w:t>
            </w:r>
            <w:proofErr w:type="spellEnd"/>
            <w:r w:rsidRPr="002271E2">
              <w:rPr>
                <w:b/>
                <w:bCs/>
                <w:lang w:val="en-US"/>
              </w:rPr>
              <w:t xml:space="preserve"> </w:t>
            </w:r>
            <w:proofErr w:type="spellStart"/>
            <w:r w:rsidRPr="002271E2">
              <w:rPr>
                <w:b/>
                <w:bCs/>
                <w:lang w:val="en-US"/>
              </w:rPr>
              <w:t>osnovama</w:t>
            </w:r>
            <w:proofErr w:type="spellEnd"/>
            <w:r w:rsidRPr="002271E2">
              <w:rPr>
                <w:b/>
                <w:bCs/>
                <w:lang w:val="en-US"/>
              </w:rPr>
              <w:t xml:space="preserve"> </w:t>
            </w:r>
            <w:proofErr w:type="spellStart"/>
            <w:r w:rsidRPr="002271E2">
              <w:rPr>
                <w:b/>
                <w:bCs/>
                <w:lang w:val="en-US"/>
              </w:rPr>
              <w:t>historiografije</w:t>
            </w:r>
            <w:proofErr w:type="spellEnd"/>
            <w:r w:rsidRPr="002271E2">
              <w:rPr>
                <w:b/>
                <w:bCs/>
                <w:lang w:val="en-US"/>
              </w:rPr>
              <w:t xml:space="preserve"> </w:t>
            </w:r>
            <w:proofErr w:type="spellStart"/>
            <w:r w:rsidRPr="002271E2">
              <w:rPr>
                <w:b/>
                <w:bCs/>
                <w:lang w:val="en-US"/>
              </w:rPr>
              <w:t>Bosne</w:t>
            </w:r>
            <w:proofErr w:type="spellEnd"/>
            <w:r w:rsidRPr="002271E2">
              <w:rPr>
                <w:b/>
                <w:bCs/>
                <w:lang w:val="en-US"/>
              </w:rPr>
              <w:t xml:space="preserve"> </w:t>
            </w:r>
            <w:proofErr w:type="spellStart"/>
            <w:r w:rsidRPr="002271E2">
              <w:rPr>
                <w:b/>
                <w:bCs/>
                <w:lang w:val="en-US"/>
              </w:rPr>
              <w:t>i</w:t>
            </w:r>
            <w:proofErr w:type="spellEnd"/>
            <w:r w:rsidRPr="002271E2">
              <w:rPr>
                <w:b/>
                <w:bCs/>
                <w:lang w:val="en-US"/>
              </w:rPr>
              <w:t xml:space="preserve"> </w:t>
            </w:r>
            <w:proofErr w:type="spellStart"/>
            <w:r w:rsidRPr="002271E2">
              <w:rPr>
                <w:b/>
                <w:bCs/>
                <w:lang w:val="en-US"/>
              </w:rPr>
              <w:t>Hercegovine</w:t>
            </w:r>
            <w:proofErr w:type="spellEnd"/>
          </w:p>
        </w:tc>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701432" w14:textId="77777777" w:rsidR="00A02541" w:rsidRPr="002271E2" w:rsidRDefault="00A02541">
            <w:pPr>
              <w:jc w:val="center"/>
              <w:rPr>
                <w:lang w:val="hr-HR"/>
              </w:rPr>
            </w:pPr>
            <w:r w:rsidRPr="002271E2">
              <w:rPr>
                <w:lang w:val="hr-HR"/>
              </w:rPr>
              <w:t>ECTS</w:t>
            </w:r>
          </w:p>
        </w:tc>
      </w:tr>
      <w:tr w:rsidR="00A02541" w:rsidRPr="002271E2" w14:paraId="3778780B" w14:textId="77777777" w:rsidTr="00A02541">
        <w:trPr>
          <w:trHeight w:val="268"/>
        </w:trPr>
        <w:tc>
          <w:tcPr>
            <w:tcW w:w="8575" w:type="dxa"/>
            <w:gridSpan w:val="3"/>
            <w:vMerge/>
            <w:tcBorders>
              <w:top w:val="single" w:sz="4" w:space="0" w:color="auto"/>
              <w:left w:val="single" w:sz="4" w:space="0" w:color="auto"/>
              <w:bottom w:val="single" w:sz="4" w:space="0" w:color="auto"/>
              <w:right w:val="single" w:sz="4" w:space="0" w:color="auto"/>
            </w:tcBorders>
            <w:vAlign w:val="center"/>
            <w:hideMark/>
          </w:tcPr>
          <w:p w14:paraId="264DF1B0" w14:textId="77777777" w:rsidR="00A02541" w:rsidRPr="002271E2" w:rsidRDefault="00A02541">
            <w:pPr>
              <w:spacing w:line="276" w:lineRule="auto"/>
              <w:rPr>
                <w:lang w:val="hr-HR" w:eastAsia="en-US"/>
              </w:rPr>
            </w:pPr>
          </w:p>
        </w:tc>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73DC342" w14:textId="77777777" w:rsidR="00A02541" w:rsidRPr="002271E2" w:rsidRDefault="00A02541">
            <w:pPr>
              <w:jc w:val="center"/>
              <w:rPr>
                <w:lang w:val="hr-HR"/>
              </w:rPr>
            </w:pPr>
            <w:r w:rsidRPr="002271E2">
              <w:rPr>
                <w:lang w:val="hr-HR"/>
              </w:rPr>
              <w:t>6</w:t>
            </w:r>
          </w:p>
        </w:tc>
      </w:tr>
      <w:tr w:rsidR="00A02541" w:rsidRPr="002271E2" w14:paraId="1CAFDBF6" w14:textId="77777777" w:rsidTr="00A02541">
        <w:trPr>
          <w:trHeight w:val="268"/>
        </w:trPr>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23A21943" w14:textId="77777777" w:rsidR="00A02541" w:rsidRPr="002271E2" w:rsidRDefault="00A02541">
            <w:pPr>
              <w:jc w:val="center"/>
              <w:rPr>
                <w:lang w:val="en-US"/>
              </w:rPr>
            </w:pPr>
            <w:r w:rsidRPr="002271E2">
              <w:rPr>
                <w:lang w:val="hr-HR"/>
              </w:rPr>
              <w:t xml:space="preserve">Ukupan broj sati u semestru:  </w:t>
            </w:r>
          </w:p>
        </w:tc>
      </w:tr>
      <w:tr w:rsidR="00A02541" w:rsidRPr="002271E2" w14:paraId="4CF82558" w14:textId="77777777" w:rsidTr="00A02541">
        <w:trPr>
          <w:trHeight w:val="268"/>
        </w:trPr>
        <w:tc>
          <w:tcPr>
            <w:tcW w:w="3707" w:type="dxa"/>
            <w:tcBorders>
              <w:top w:val="single" w:sz="4" w:space="0" w:color="auto"/>
              <w:left w:val="single" w:sz="4" w:space="0" w:color="auto"/>
              <w:bottom w:val="single" w:sz="4" w:space="0" w:color="auto"/>
              <w:right w:val="single" w:sz="4" w:space="0" w:color="auto"/>
            </w:tcBorders>
            <w:hideMark/>
          </w:tcPr>
          <w:p w14:paraId="21961DD2" w14:textId="77777777" w:rsidR="00A02541" w:rsidRPr="002271E2" w:rsidRDefault="00A02541">
            <w:pPr>
              <w:jc w:val="center"/>
              <w:rPr>
                <w:lang w:val="hr-HR"/>
              </w:rPr>
            </w:pPr>
            <w:r w:rsidRPr="002271E2">
              <w:rPr>
                <w:lang w:val="hr-HR"/>
              </w:rPr>
              <w:t>Semestar: I</w:t>
            </w:r>
          </w:p>
        </w:tc>
        <w:tc>
          <w:tcPr>
            <w:tcW w:w="3389" w:type="dxa"/>
            <w:tcBorders>
              <w:top w:val="single" w:sz="4" w:space="0" w:color="auto"/>
              <w:left w:val="single" w:sz="4" w:space="0" w:color="auto"/>
              <w:bottom w:val="single" w:sz="4" w:space="0" w:color="auto"/>
              <w:right w:val="single" w:sz="4" w:space="0" w:color="auto"/>
            </w:tcBorders>
            <w:hideMark/>
          </w:tcPr>
          <w:p w14:paraId="1702D6A3" w14:textId="5818C818" w:rsidR="00A02541" w:rsidRPr="002271E2" w:rsidRDefault="00A02541">
            <w:pPr>
              <w:jc w:val="center"/>
              <w:rPr>
                <w:lang w:val="hr-HR"/>
              </w:rPr>
            </w:pPr>
            <w:r w:rsidRPr="002271E2">
              <w:rPr>
                <w:lang w:val="hr-HR"/>
              </w:rPr>
              <w:t xml:space="preserve">Predavanja: </w:t>
            </w:r>
            <w:r w:rsidR="00121698">
              <w:rPr>
                <w:lang w:val="hr-HR"/>
              </w:rPr>
              <w:t>45</w:t>
            </w:r>
          </w:p>
        </w:tc>
        <w:tc>
          <w:tcPr>
            <w:tcW w:w="3389" w:type="dxa"/>
            <w:gridSpan w:val="2"/>
            <w:tcBorders>
              <w:top w:val="single" w:sz="4" w:space="0" w:color="auto"/>
              <w:left w:val="single" w:sz="4" w:space="0" w:color="auto"/>
              <w:bottom w:val="single" w:sz="4" w:space="0" w:color="auto"/>
              <w:right w:val="single" w:sz="4" w:space="0" w:color="auto"/>
            </w:tcBorders>
            <w:hideMark/>
          </w:tcPr>
          <w:p w14:paraId="62F0DA6B" w14:textId="49C11670" w:rsidR="00A02541" w:rsidRPr="002271E2" w:rsidRDefault="00A02541">
            <w:pPr>
              <w:jc w:val="center"/>
              <w:rPr>
                <w:lang w:val="hr-HR"/>
              </w:rPr>
            </w:pPr>
            <w:r w:rsidRPr="002271E2">
              <w:rPr>
                <w:lang w:val="hr-HR"/>
              </w:rPr>
              <w:t>Vježbe (A+L) : 1</w:t>
            </w:r>
            <w:r w:rsidR="00121698">
              <w:rPr>
                <w:lang w:val="hr-HR"/>
              </w:rPr>
              <w:t>5</w:t>
            </w:r>
          </w:p>
        </w:tc>
      </w:tr>
      <w:tr w:rsidR="00A02541" w:rsidRPr="002271E2" w14:paraId="53666F7E" w14:textId="77777777" w:rsidTr="00780F86">
        <w:trPr>
          <w:trHeight w:val="268"/>
        </w:trPr>
        <w:tc>
          <w:tcPr>
            <w:tcW w:w="10485" w:type="dxa"/>
            <w:gridSpan w:val="4"/>
            <w:tcBorders>
              <w:top w:val="single" w:sz="4" w:space="0" w:color="auto"/>
              <w:left w:val="single" w:sz="4" w:space="0" w:color="auto"/>
              <w:bottom w:val="single" w:sz="4" w:space="0" w:color="auto"/>
              <w:right w:val="single" w:sz="4" w:space="0" w:color="auto"/>
            </w:tcBorders>
          </w:tcPr>
          <w:p w14:paraId="498B0A37" w14:textId="77777777" w:rsidR="00A02541" w:rsidRPr="002271E2" w:rsidRDefault="00A02541" w:rsidP="00A02541">
            <w:pPr>
              <w:rPr>
                <w:bCs/>
                <w:lang w:val="hr-HR"/>
              </w:rPr>
            </w:pPr>
            <w:r w:rsidRPr="002271E2">
              <w:rPr>
                <w:bCs/>
                <w:lang w:val="hr-HR"/>
              </w:rPr>
              <w:t>Cilj kolegija:</w:t>
            </w:r>
          </w:p>
          <w:p w14:paraId="7613C249" w14:textId="77777777" w:rsidR="00A02541" w:rsidRPr="002271E2" w:rsidRDefault="00A02541" w:rsidP="00A02541">
            <w:pPr>
              <w:pStyle w:val="ListParagraph"/>
              <w:numPr>
                <w:ilvl w:val="0"/>
                <w:numId w:val="10"/>
              </w:numPr>
              <w:tabs>
                <w:tab w:val="clear" w:pos="708"/>
              </w:tabs>
              <w:suppressAutoHyphens w:val="0"/>
              <w:contextualSpacing/>
              <w:jc w:val="both"/>
              <w:rPr>
                <w:bCs/>
                <w:lang w:val="hr-HR"/>
              </w:rPr>
            </w:pPr>
            <w:r w:rsidRPr="002271E2">
              <w:rPr>
                <w:bCs/>
                <w:lang w:val="hr-HR"/>
              </w:rPr>
              <w:t xml:space="preserve">Osposobiti studente da znaju provesti istraživački postupak, koristeći metode važne za historijsku nauku; </w:t>
            </w:r>
          </w:p>
          <w:p w14:paraId="6F115058" w14:textId="77777777" w:rsidR="00A02541" w:rsidRPr="002271E2" w:rsidRDefault="00A02541" w:rsidP="00A02541">
            <w:pPr>
              <w:pStyle w:val="ListParagraph"/>
              <w:numPr>
                <w:ilvl w:val="0"/>
                <w:numId w:val="10"/>
              </w:numPr>
              <w:tabs>
                <w:tab w:val="clear" w:pos="708"/>
              </w:tabs>
              <w:suppressAutoHyphens w:val="0"/>
              <w:contextualSpacing/>
              <w:jc w:val="both"/>
              <w:rPr>
                <w:bCs/>
                <w:lang w:val="hr-HR"/>
              </w:rPr>
            </w:pPr>
            <w:r w:rsidRPr="002271E2">
              <w:rPr>
                <w:bCs/>
                <w:lang w:val="hr-HR"/>
              </w:rPr>
              <w:t xml:space="preserve">Da samostalno mogu definisati temu istraživanja (istraživačko pitanje) i odgovoriti na istraživačko pitanje; </w:t>
            </w:r>
          </w:p>
          <w:p w14:paraId="239CBE1B" w14:textId="77777777" w:rsidR="00A02541" w:rsidRPr="002271E2" w:rsidRDefault="00A02541" w:rsidP="00A02541">
            <w:pPr>
              <w:pStyle w:val="ListParagraph"/>
              <w:numPr>
                <w:ilvl w:val="0"/>
                <w:numId w:val="10"/>
              </w:numPr>
              <w:tabs>
                <w:tab w:val="clear" w:pos="708"/>
              </w:tabs>
              <w:suppressAutoHyphens w:val="0"/>
              <w:contextualSpacing/>
              <w:jc w:val="both"/>
              <w:rPr>
                <w:bCs/>
                <w:lang w:val="hr-HR"/>
              </w:rPr>
            </w:pPr>
            <w:r w:rsidRPr="002271E2">
              <w:rPr>
                <w:bCs/>
                <w:lang w:val="hr-HR"/>
              </w:rPr>
              <w:t>Osposobiti studente da kritički koriste historijske izvore i literaturu;</w:t>
            </w:r>
          </w:p>
          <w:p w14:paraId="07369107" w14:textId="53BA0D4A" w:rsidR="00A02541" w:rsidRPr="002271E2" w:rsidRDefault="00A02541" w:rsidP="00A02541">
            <w:pPr>
              <w:pStyle w:val="ListParagraph"/>
              <w:numPr>
                <w:ilvl w:val="0"/>
                <w:numId w:val="10"/>
              </w:numPr>
              <w:tabs>
                <w:tab w:val="clear" w:pos="708"/>
              </w:tabs>
              <w:suppressAutoHyphens w:val="0"/>
              <w:contextualSpacing/>
              <w:jc w:val="both"/>
              <w:rPr>
                <w:bCs/>
                <w:lang w:val="hr-HR"/>
              </w:rPr>
            </w:pPr>
            <w:r w:rsidRPr="002271E2">
              <w:rPr>
                <w:bCs/>
                <w:lang w:val="hr-HR"/>
              </w:rPr>
              <w:t>Da znaju osnove historiografije Bosne i Hercegovine</w:t>
            </w:r>
          </w:p>
        </w:tc>
      </w:tr>
      <w:tr w:rsidR="00A02541" w:rsidRPr="002271E2" w14:paraId="4BA8DB99" w14:textId="77777777" w:rsidTr="002A5685">
        <w:trPr>
          <w:trHeight w:val="268"/>
        </w:trPr>
        <w:tc>
          <w:tcPr>
            <w:tcW w:w="10485" w:type="dxa"/>
            <w:gridSpan w:val="4"/>
            <w:tcBorders>
              <w:top w:val="single" w:sz="4" w:space="0" w:color="auto"/>
              <w:left w:val="single" w:sz="4" w:space="0" w:color="auto"/>
              <w:bottom w:val="single" w:sz="4" w:space="0" w:color="auto"/>
              <w:right w:val="single" w:sz="4" w:space="0" w:color="auto"/>
            </w:tcBorders>
          </w:tcPr>
          <w:p w14:paraId="322457E1" w14:textId="77777777" w:rsidR="00A02541" w:rsidRPr="002271E2" w:rsidRDefault="00A02541" w:rsidP="00A02541">
            <w:pPr>
              <w:rPr>
                <w:lang w:val="hr-HR"/>
              </w:rPr>
            </w:pPr>
            <w:r w:rsidRPr="002271E2">
              <w:rPr>
                <w:lang w:val="hr-HR"/>
              </w:rPr>
              <w:t>Sadržaj / struktura predmeta:</w:t>
            </w:r>
          </w:p>
          <w:p w14:paraId="374C2B14" w14:textId="77777777" w:rsidR="00A02541" w:rsidRPr="002271E2" w:rsidRDefault="00A02541" w:rsidP="00A02541">
            <w:pPr>
              <w:rPr>
                <w:lang w:val="hr-HR"/>
              </w:rPr>
            </w:pPr>
            <w:r w:rsidRPr="002271E2">
              <w:rPr>
                <w:lang w:val="hr-HR"/>
              </w:rPr>
              <w:t xml:space="preserve">1. Pojam nauke i naučnoistraživačkog rada; </w:t>
            </w:r>
          </w:p>
          <w:p w14:paraId="001D7E07" w14:textId="77777777" w:rsidR="00A02541" w:rsidRPr="002271E2" w:rsidRDefault="00A02541" w:rsidP="00A02541">
            <w:pPr>
              <w:rPr>
                <w:lang w:val="hr-HR"/>
              </w:rPr>
            </w:pPr>
            <w:r w:rsidRPr="002271E2">
              <w:rPr>
                <w:lang w:val="hr-HR"/>
              </w:rPr>
              <w:t>2. Opće naučne metode, posebne naučne metode, tehnika naučnog rada</w:t>
            </w:r>
          </w:p>
          <w:p w14:paraId="06788B44" w14:textId="77777777" w:rsidR="00A02541" w:rsidRPr="002271E2" w:rsidRDefault="00A02541" w:rsidP="00A02541">
            <w:pPr>
              <w:rPr>
                <w:lang w:val="hr-HR"/>
              </w:rPr>
            </w:pPr>
            <w:r w:rsidRPr="002271E2">
              <w:rPr>
                <w:lang w:val="hr-HR"/>
              </w:rPr>
              <w:t>3. Historija: prošlost i nauka o prošlosti. Posebnost historijske nauke.</w:t>
            </w:r>
          </w:p>
          <w:p w14:paraId="59837670" w14:textId="77777777" w:rsidR="00A02541" w:rsidRPr="002271E2" w:rsidRDefault="00A02541" w:rsidP="00A02541">
            <w:pPr>
              <w:rPr>
                <w:lang w:val="hr-HR"/>
              </w:rPr>
            </w:pPr>
            <w:r w:rsidRPr="002271E2">
              <w:rPr>
                <w:lang w:val="hr-HR"/>
              </w:rPr>
              <w:t>4. Historijska svijest: Oblikovanje historijske svijesti, djelovanje i upotreba historijske svijesti.</w:t>
            </w:r>
          </w:p>
          <w:p w14:paraId="23637A85" w14:textId="77777777" w:rsidR="00A02541" w:rsidRPr="002271E2" w:rsidRDefault="00A02541" w:rsidP="00A02541">
            <w:pPr>
              <w:rPr>
                <w:lang w:val="hr-HR"/>
              </w:rPr>
            </w:pPr>
            <w:r w:rsidRPr="002271E2">
              <w:rPr>
                <w:lang w:val="hr-HR"/>
              </w:rPr>
              <w:t>5. Historičar: proizvod i proizvođač historije;</w:t>
            </w:r>
          </w:p>
          <w:p w14:paraId="3A600D1E" w14:textId="77777777" w:rsidR="00A02541" w:rsidRPr="002271E2" w:rsidRDefault="00A02541" w:rsidP="00A02541">
            <w:pPr>
              <w:rPr>
                <w:lang w:val="hr-HR"/>
              </w:rPr>
            </w:pPr>
            <w:r w:rsidRPr="002271E2">
              <w:rPr>
                <w:lang w:val="hr-HR"/>
              </w:rPr>
              <w:t>6. Historijski metod: Odlike historijskog metoda i tumačenja historijskog metoda;</w:t>
            </w:r>
          </w:p>
          <w:p w14:paraId="11E418B5" w14:textId="77777777" w:rsidR="00A02541" w:rsidRPr="002271E2" w:rsidRDefault="00A02541" w:rsidP="00A02541">
            <w:pPr>
              <w:rPr>
                <w:lang w:val="hr-HR"/>
              </w:rPr>
            </w:pPr>
            <w:r w:rsidRPr="002271E2">
              <w:rPr>
                <w:lang w:val="hr-HR"/>
              </w:rPr>
              <w:t>7. Historijski izvori: svjedoci i posrednici;</w:t>
            </w:r>
          </w:p>
          <w:p w14:paraId="7694A54D" w14:textId="77777777" w:rsidR="00A02541" w:rsidRPr="002271E2" w:rsidRDefault="00A02541" w:rsidP="00A02541">
            <w:pPr>
              <w:rPr>
                <w:lang w:val="hr-HR"/>
              </w:rPr>
            </w:pPr>
            <w:r w:rsidRPr="002271E2">
              <w:rPr>
                <w:lang w:val="hr-HR"/>
              </w:rPr>
              <w:t>8. Vrste historijskih izvora;</w:t>
            </w:r>
          </w:p>
          <w:p w14:paraId="3F967B1A" w14:textId="77777777" w:rsidR="00A02541" w:rsidRPr="002271E2" w:rsidRDefault="00A02541" w:rsidP="00A02541">
            <w:pPr>
              <w:rPr>
                <w:lang w:val="hr-HR"/>
              </w:rPr>
            </w:pPr>
            <w:r w:rsidRPr="002271E2">
              <w:rPr>
                <w:lang w:val="hr-HR"/>
              </w:rPr>
              <w:t xml:space="preserve">9. Kritika historijskih izvora; </w:t>
            </w:r>
          </w:p>
          <w:p w14:paraId="0AFD5F4D" w14:textId="77777777" w:rsidR="00A02541" w:rsidRPr="002271E2" w:rsidRDefault="00A02541" w:rsidP="00A02541">
            <w:pPr>
              <w:rPr>
                <w:lang w:val="hr-HR"/>
              </w:rPr>
            </w:pPr>
            <w:r w:rsidRPr="002271E2">
              <w:rPr>
                <w:lang w:val="hr-HR"/>
              </w:rPr>
              <w:t xml:space="preserve">10. Izbor i definisanje predmeta istraživanja, plan istraživanja, formulisanje ciljeva istraživanja, postavljanje hipoteza, izrada projekta istraživanja, prikupljanje i obrada podataka, naučno tumačenje i interpretacija podataka, izvještaj o rezultatima istraživanja); </w:t>
            </w:r>
          </w:p>
          <w:p w14:paraId="353DD20F" w14:textId="77777777" w:rsidR="00A02541" w:rsidRPr="002271E2" w:rsidRDefault="00A02541" w:rsidP="00A02541">
            <w:pPr>
              <w:rPr>
                <w:lang w:val="hr-HR"/>
              </w:rPr>
            </w:pPr>
            <w:r w:rsidRPr="002271E2">
              <w:rPr>
                <w:lang w:val="hr-HR"/>
              </w:rPr>
              <w:t xml:space="preserve">11.  Prikupljanje izvorne građe; </w:t>
            </w:r>
          </w:p>
          <w:p w14:paraId="1FB04F0F" w14:textId="77777777" w:rsidR="00A02541" w:rsidRPr="002271E2" w:rsidRDefault="00A02541" w:rsidP="00A02541">
            <w:pPr>
              <w:rPr>
                <w:lang w:val="hr-HR"/>
              </w:rPr>
            </w:pPr>
            <w:r w:rsidRPr="002271E2">
              <w:rPr>
                <w:lang w:val="hr-HR"/>
              </w:rPr>
              <w:lastRenderedPageBreak/>
              <w:t>12. Pisanje naučnog rada (plan pisanja, kompozicija rada, odlike naučnog teksta, redigovanje i recenzija rukopisa);</w:t>
            </w:r>
          </w:p>
          <w:p w14:paraId="49D5C279" w14:textId="77777777" w:rsidR="00A02541" w:rsidRPr="002271E2" w:rsidRDefault="00A02541" w:rsidP="00A02541">
            <w:pPr>
              <w:rPr>
                <w:lang w:val="hr-HR"/>
              </w:rPr>
            </w:pPr>
            <w:r w:rsidRPr="002271E2">
              <w:rPr>
                <w:lang w:val="hr-HR"/>
              </w:rPr>
              <w:t>13. Dokumentacijska osnova rukopisa (naučni aparat); Saradnja sa mentorom; Prezentacija i odbrana rada; Izvještaj (Saopštavanje rezultata istraživanja);</w:t>
            </w:r>
          </w:p>
          <w:p w14:paraId="28927580" w14:textId="77777777" w:rsidR="00A02541" w:rsidRPr="002271E2" w:rsidRDefault="00A02541" w:rsidP="00A02541">
            <w:pPr>
              <w:rPr>
                <w:lang w:val="hr-HR"/>
              </w:rPr>
            </w:pPr>
            <w:r w:rsidRPr="002271E2">
              <w:rPr>
                <w:lang w:val="hr-HR"/>
              </w:rPr>
              <w:t>14. Osnove historiografije Bosne i Hercegovine o starom i srednjem vijeku;</w:t>
            </w:r>
          </w:p>
          <w:p w14:paraId="06AD9139" w14:textId="15B2654D" w:rsidR="00A02541" w:rsidRPr="002271E2" w:rsidRDefault="00A02541" w:rsidP="00A02541">
            <w:pPr>
              <w:rPr>
                <w:lang w:val="hr-HR"/>
              </w:rPr>
            </w:pPr>
            <w:r w:rsidRPr="002271E2">
              <w:rPr>
                <w:lang w:val="hr-HR"/>
              </w:rPr>
              <w:t>15. Osnove historiografije Bosne i Hercegovine o novom vijeku i savremenom dobu.</w:t>
            </w:r>
          </w:p>
        </w:tc>
      </w:tr>
      <w:tr w:rsidR="00A02541" w:rsidRPr="002271E2" w14:paraId="51227954" w14:textId="77777777" w:rsidTr="006D14B3">
        <w:trPr>
          <w:trHeight w:val="268"/>
        </w:trPr>
        <w:tc>
          <w:tcPr>
            <w:tcW w:w="10485" w:type="dxa"/>
            <w:gridSpan w:val="4"/>
            <w:tcBorders>
              <w:top w:val="single" w:sz="4" w:space="0" w:color="auto"/>
              <w:left w:val="single" w:sz="4" w:space="0" w:color="auto"/>
              <w:bottom w:val="single" w:sz="4" w:space="0" w:color="auto"/>
              <w:right w:val="single" w:sz="4" w:space="0" w:color="auto"/>
            </w:tcBorders>
          </w:tcPr>
          <w:p w14:paraId="155030D7" w14:textId="77777777" w:rsidR="00A02541" w:rsidRPr="002271E2" w:rsidRDefault="00A02541" w:rsidP="00A02541">
            <w:pPr>
              <w:rPr>
                <w:lang w:val="hr-HR"/>
              </w:rPr>
            </w:pPr>
            <w:r w:rsidRPr="002271E2">
              <w:rPr>
                <w:lang w:val="hr-HR"/>
              </w:rPr>
              <w:lastRenderedPageBreak/>
              <w:t>Osnovna literatura:</w:t>
            </w:r>
          </w:p>
          <w:p w14:paraId="406E5C08" w14:textId="77777777" w:rsidR="00A02541" w:rsidRPr="002271E2" w:rsidRDefault="00A02541" w:rsidP="00A02541">
            <w:pPr>
              <w:rPr>
                <w:lang w:val="hr-HR"/>
              </w:rPr>
            </w:pPr>
            <w:r w:rsidRPr="002271E2">
              <w:rPr>
                <w:lang w:val="hr-HR"/>
              </w:rPr>
              <w:t>1. Mirjana Gross, Suvremena historiografija: korijeni, postignuća, traganja, Zagreb, 1996.</w:t>
            </w:r>
          </w:p>
          <w:p w14:paraId="64CD7406" w14:textId="77777777" w:rsidR="00A02541" w:rsidRPr="002271E2" w:rsidRDefault="00A02541" w:rsidP="00A02541">
            <w:pPr>
              <w:rPr>
                <w:lang w:val="hr-HR"/>
              </w:rPr>
            </w:pPr>
            <w:r w:rsidRPr="002271E2">
              <w:rPr>
                <w:lang w:val="hr-HR"/>
              </w:rPr>
              <w:t>2. Vesna Mušeta Aščerić, Uvod u historijsku nauku, Sarajevo, 2014.</w:t>
            </w:r>
          </w:p>
          <w:p w14:paraId="38E8F135" w14:textId="77777777" w:rsidR="00A02541" w:rsidRPr="002271E2" w:rsidRDefault="00A02541" w:rsidP="00A02541">
            <w:pPr>
              <w:rPr>
                <w:lang w:val="hr-HR"/>
              </w:rPr>
            </w:pPr>
            <w:r w:rsidRPr="002271E2">
              <w:rPr>
                <w:lang w:val="hr-HR"/>
              </w:rPr>
              <w:t>3. Miomir Dašić, O istoriji - Metodološki ogledi, Podgorica, 2019.</w:t>
            </w:r>
          </w:p>
          <w:p w14:paraId="5B7A4EBA" w14:textId="77777777" w:rsidR="00A02541" w:rsidRPr="002271E2" w:rsidRDefault="00A02541" w:rsidP="00A02541">
            <w:pPr>
              <w:rPr>
                <w:lang w:val="hr-HR"/>
              </w:rPr>
            </w:pPr>
            <w:r w:rsidRPr="002271E2">
              <w:rPr>
                <w:lang w:val="hr-HR"/>
              </w:rPr>
              <w:t>4. Zdravko M. Deletić, Zanat istoričara: Metodologija istoriopisanja, Kosovska Mitrovica, 2019.</w:t>
            </w:r>
          </w:p>
          <w:p w14:paraId="70F70FB5" w14:textId="7E2B128E" w:rsidR="00A02541" w:rsidRPr="002271E2" w:rsidRDefault="00A02541" w:rsidP="00A02541">
            <w:pPr>
              <w:rPr>
                <w:lang w:val="hr-HR"/>
              </w:rPr>
            </w:pPr>
            <w:r w:rsidRPr="002271E2">
              <w:rPr>
                <w:lang w:val="hr-HR"/>
              </w:rPr>
              <w:t>5. Prilozi o historiografiji Bosne i Hercegovine Bosne i Hercegovine (2001-2017), knj. 1 i 2, ANUBiH, Sarajevo, 2020.</w:t>
            </w:r>
          </w:p>
        </w:tc>
      </w:tr>
    </w:tbl>
    <w:p w14:paraId="37C996FA" w14:textId="77777777" w:rsidR="00A02541" w:rsidRDefault="00A02541"/>
    <w:tbl>
      <w:tblPr>
        <w:tblpPr w:leftFromText="180" w:rightFromText="180" w:bottomFromText="160" w:vertAnchor="text" w:horzAnchor="margin" w:tblpX="-318" w:tblpY="541"/>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3389"/>
        <w:gridCol w:w="1479"/>
        <w:gridCol w:w="1910"/>
      </w:tblGrid>
      <w:tr w:rsidR="00B24DAE" w:rsidRPr="002271E2" w14:paraId="00802C7F" w14:textId="77777777" w:rsidTr="00B24DAE">
        <w:trPr>
          <w:cantSplit/>
          <w:trHeight w:val="268"/>
        </w:trPr>
        <w:tc>
          <w:tcPr>
            <w:tcW w:w="8578"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05F315C" w14:textId="77777777" w:rsidR="00B24DAE" w:rsidRPr="002271E2" w:rsidRDefault="00B24DAE" w:rsidP="00514CA1">
            <w:pPr>
              <w:jc w:val="both"/>
              <w:rPr>
                <w:color w:val="auto"/>
                <w:lang w:val="hr-HR" w:eastAsia="en-US"/>
              </w:rPr>
            </w:pPr>
            <w:r w:rsidRPr="002271E2">
              <w:rPr>
                <w:lang w:val="hr-HR"/>
              </w:rPr>
              <w:t xml:space="preserve">Naziv predmeta: </w:t>
            </w:r>
            <w:r w:rsidRPr="002271E2">
              <w:rPr>
                <w:b/>
                <w:bCs/>
                <w:lang w:val="hr-HR"/>
              </w:rPr>
              <w:t>Korijeni Bosne i bosanskog društva</w:t>
            </w: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F5385D" w14:textId="77777777" w:rsidR="00B24DAE" w:rsidRPr="002271E2" w:rsidRDefault="00B24DAE" w:rsidP="00514CA1">
            <w:pPr>
              <w:jc w:val="center"/>
              <w:rPr>
                <w:lang w:val="hr-HR"/>
              </w:rPr>
            </w:pPr>
            <w:r w:rsidRPr="002271E2">
              <w:rPr>
                <w:lang w:val="hr-HR"/>
              </w:rPr>
              <w:t>ECTS</w:t>
            </w:r>
          </w:p>
        </w:tc>
      </w:tr>
      <w:tr w:rsidR="00B24DAE" w:rsidRPr="002271E2" w14:paraId="3CDBC799" w14:textId="77777777" w:rsidTr="00B24DAE">
        <w:trPr>
          <w:cantSplit/>
          <w:trHeight w:val="268"/>
        </w:trPr>
        <w:tc>
          <w:tcPr>
            <w:tcW w:w="17270" w:type="dxa"/>
            <w:gridSpan w:val="3"/>
            <w:vMerge/>
            <w:tcBorders>
              <w:top w:val="single" w:sz="4" w:space="0" w:color="auto"/>
              <w:left w:val="single" w:sz="4" w:space="0" w:color="auto"/>
              <w:bottom w:val="single" w:sz="4" w:space="0" w:color="auto"/>
              <w:right w:val="single" w:sz="4" w:space="0" w:color="auto"/>
            </w:tcBorders>
            <w:vAlign w:val="center"/>
            <w:hideMark/>
          </w:tcPr>
          <w:p w14:paraId="5037A46E" w14:textId="77777777" w:rsidR="00B24DAE" w:rsidRPr="002271E2" w:rsidRDefault="00B24DAE" w:rsidP="00514CA1">
            <w:pPr>
              <w:spacing w:line="276" w:lineRule="auto"/>
              <w:rPr>
                <w:lang w:val="hr-HR" w:eastAsia="en-US"/>
              </w:rPr>
            </w:pP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ABF4D2" w14:textId="77777777" w:rsidR="00B24DAE" w:rsidRPr="002271E2" w:rsidRDefault="00B24DAE" w:rsidP="00514CA1">
            <w:pPr>
              <w:jc w:val="center"/>
              <w:rPr>
                <w:lang w:val="hr-HR"/>
              </w:rPr>
            </w:pPr>
            <w:r w:rsidRPr="002271E2">
              <w:rPr>
                <w:lang w:val="hr-HR"/>
              </w:rPr>
              <w:t>6</w:t>
            </w:r>
          </w:p>
        </w:tc>
      </w:tr>
      <w:tr w:rsidR="00B24DAE" w:rsidRPr="002271E2" w14:paraId="4A0F62AF" w14:textId="77777777" w:rsidTr="00B24DAE">
        <w:trPr>
          <w:trHeight w:val="268"/>
        </w:trPr>
        <w:tc>
          <w:tcPr>
            <w:tcW w:w="10489" w:type="dxa"/>
            <w:gridSpan w:val="4"/>
            <w:tcBorders>
              <w:top w:val="single" w:sz="4" w:space="0" w:color="auto"/>
              <w:left w:val="single" w:sz="4" w:space="0" w:color="auto"/>
              <w:bottom w:val="single" w:sz="4" w:space="0" w:color="auto"/>
              <w:right w:val="single" w:sz="4" w:space="0" w:color="auto"/>
            </w:tcBorders>
            <w:vAlign w:val="center"/>
            <w:hideMark/>
          </w:tcPr>
          <w:p w14:paraId="568511F9" w14:textId="77777777" w:rsidR="00B24DAE" w:rsidRPr="002271E2" w:rsidRDefault="00B24DAE" w:rsidP="00514CA1">
            <w:pPr>
              <w:jc w:val="center"/>
              <w:rPr>
                <w:lang w:val="en-US"/>
              </w:rPr>
            </w:pPr>
            <w:r w:rsidRPr="002271E2">
              <w:rPr>
                <w:lang w:val="hr-HR"/>
              </w:rPr>
              <w:t xml:space="preserve">Ukupan broj sati u semestru:  </w:t>
            </w:r>
          </w:p>
        </w:tc>
      </w:tr>
      <w:tr w:rsidR="00B24DAE" w:rsidRPr="002271E2" w14:paraId="61FA07D5" w14:textId="77777777" w:rsidTr="00B24DAE">
        <w:trPr>
          <w:trHeight w:val="268"/>
        </w:trPr>
        <w:tc>
          <w:tcPr>
            <w:tcW w:w="3708" w:type="dxa"/>
            <w:tcBorders>
              <w:top w:val="single" w:sz="4" w:space="0" w:color="auto"/>
              <w:left w:val="single" w:sz="4" w:space="0" w:color="auto"/>
              <w:bottom w:val="single" w:sz="4" w:space="0" w:color="auto"/>
              <w:right w:val="single" w:sz="4" w:space="0" w:color="auto"/>
            </w:tcBorders>
            <w:hideMark/>
          </w:tcPr>
          <w:p w14:paraId="4B49BCA0" w14:textId="77777777" w:rsidR="00B24DAE" w:rsidRPr="002271E2" w:rsidRDefault="00B24DAE" w:rsidP="00514CA1">
            <w:pPr>
              <w:jc w:val="center"/>
              <w:rPr>
                <w:lang w:val="hr-HR"/>
              </w:rPr>
            </w:pPr>
            <w:r w:rsidRPr="002271E2">
              <w:rPr>
                <w:lang w:val="hr-HR"/>
              </w:rPr>
              <w:t>Semestar: I</w:t>
            </w:r>
          </w:p>
        </w:tc>
        <w:tc>
          <w:tcPr>
            <w:tcW w:w="3390" w:type="dxa"/>
            <w:tcBorders>
              <w:top w:val="single" w:sz="4" w:space="0" w:color="auto"/>
              <w:left w:val="single" w:sz="4" w:space="0" w:color="auto"/>
              <w:bottom w:val="single" w:sz="4" w:space="0" w:color="auto"/>
              <w:right w:val="single" w:sz="4" w:space="0" w:color="auto"/>
            </w:tcBorders>
            <w:hideMark/>
          </w:tcPr>
          <w:p w14:paraId="66D612ED" w14:textId="062A3D3F" w:rsidR="00B24DAE" w:rsidRPr="002271E2" w:rsidRDefault="00B24DAE" w:rsidP="00514CA1">
            <w:pPr>
              <w:jc w:val="center"/>
              <w:rPr>
                <w:lang w:val="hr-HR"/>
              </w:rPr>
            </w:pPr>
            <w:r w:rsidRPr="002271E2">
              <w:rPr>
                <w:lang w:val="hr-HR"/>
              </w:rPr>
              <w:t xml:space="preserve">Predavanja: </w:t>
            </w:r>
            <w:r w:rsidR="00121698">
              <w:rPr>
                <w:lang w:val="hr-HR"/>
              </w:rPr>
              <w:t>30</w:t>
            </w:r>
          </w:p>
        </w:tc>
        <w:tc>
          <w:tcPr>
            <w:tcW w:w="3391" w:type="dxa"/>
            <w:gridSpan w:val="2"/>
            <w:tcBorders>
              <w:top w:val="single" w:sz="4" w:space="0" w:color="auto"/>
              <w:left w:val="single" w:sz="4" w:space="0" w:color="auto"/>
              <w:bottom w:val="single" w:sz="4" w:space="0" w:color="auto"/>
              <w:right w:val="single" w:sz="4" w:space="0" w:color="auto"/>
            </w:tcBorders>
            <w:hideMark/>
          </w:tcPr>
          <w:p w14:paraId="3DA0EEE8" w14:textId="141887B8" w:rsidR="00B24DAE" w:rsidRPr="002271E2" w:rsidRDefault="00B24DAE" w:rsidP="00514CA1">
            <w:pPr>
              <w:jc w:val="center"/>
              <w:rPr>
                <w:lang w:val="hr-HR"/>
              </w:rPr>
            </w:pPr>
            <w:r w:rsidRPr="002271E2">
              <w:rPr>
                <w:lang w:val="hr-HR"/>
              </w:rPr>
              <w:t xml:space="preserve">Vježbe (A+L) : </w:t>
            </w:r>
            <w:r w:rsidR="00121698">
              <w:rPr>
                <w:lang w:val="hr-HR"/>
              </w:rPr>
              <w:t>30</w:t>
            </w:r>
          </w:p>
        </w:tc>
      </w:tr>
      <w:tr w:rsidR="00B24DAE" w:rsidRPr="002271E2" w14:paraId="6A8B3240" w14:textId="77777777" w:rsidTr="00B24DAE">
        <w:trPr>
          <w:cantSplit/>
          <w:trHeight w:val="268"/>
        </w:trPr>
        <w:tc>
          <w:tcPr>
            <w:tcW w:w="10489" w:type="dxa"/>
            <w:gridSpan w:val="4"/>
            <w:tcBorders>
              <w:top w:val="single" w:sz="4" w:space="0" w:color="auto"/>
              <w:left w:val="single" w:sz="4" w:space="0" w:color="auto"/>
              <w:bottom w:val="single" w:sz="4" w:space="0" w:color="auto"/>
              <w:right w:val="single" w:sz="4" w:space="0" w:color="auto"/>
            </w:tcBorders>
            <w:hideMark/>
          </w:tcPr>
          <w:p w14:paraId="500B5024" w14:textId="77777777" w:rsidR="00B24DAE" w:rsidRPr="002271E2" w:rsidRDefault="00B24DAE" w:rsidP="00514CA1">
            <w:pPr>
              <w:rPr>
                <w:bCs/>
                <w:lang w:val="hr-HR"/>
              </w:rPr>
            </w:pPr>
            <w:r w:rsidRPr="002271E2">
              <w:rPr>
                <w:bCs/>
                <w:lang w:val="hr-HR"/>
              </w:rPr>
              <w:t>Cilj kolegija:</w:t>
            </w:r>
          </w:p>
          <w:p w14:paraId="5D0E6625"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Osposobiti studente:</w:t>
            </w:r>
          </w:p>
          <w:p w14:paraId="0C7176F5"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da definišu osnovne metode istraživanja prethistorijskog i antičkog doba</w:t>
            </w:r>
          </w:p>
          <w:p w14:paraId="77ED3C7D"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da kritički analiziraju izvore i literaturu</w:t>
            </w:r>
          </w:p>
          <w:p w14:paraId="63367D0C"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da spoznaju najvažnije kulturne pojave i privredne promjene unutar prethistorijskog društva</w:t>
            </w:r>
          </w:p>
          <w:p w14:paraId="3C681618"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da spoznaju uzroke  i posljedice osvajanja Ilirika, te položaj Bosne i Hercegovine unutar rimskih provincija Dalmacije i Panonije kroz upravu, privredu i kulturne tekovine</w:t>
            </w:r>
          </w:p>
          <w:p w14:paraId="00245D4E"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da spoznaju promjene koje su se zbile na tlu današnje Bosne i Hercegovine za vrijeme vladavine Ostrogota</w:t>
            </w:r>
          </w:p>
          <w:p w14:paraId="0E1C30DC" w14:textId="77777777" w:rsidR="00B24DAE" w:rsidRPr="002271E2" w:rsidRDefault="00B24DAE" w:rsidP="00B24DAE">
            <w:pPr>
              <w:pStyle w:val="ListParagraph"/>
              <w:numPr>
                <w:ilvl w:val="0"/>
                <w:numId w:val="10"/>
              </w:numPr>
              <w:tabs>
                <w:tab w:val="clear" w:pos="708"/>
              </w:tabs>
              <w:suppressAutoHyphens w:val="0"/>
              <w:contextualSpacing/>
              <w:jc w:val="both"/>
              <w:rPr>
                <w:bCs/>
                <w:lang w:val="hr-HR"/>
              </w:rPr>
            </w:pPr>
            <w:r w:rsidRPr="002271E2">
              <w:rPr>
                <w:bCs/>
                <w:lang w:val="hr-HR"/>
              </w:rPr>
              <w:t>da spoznaju značaj antičke civilizacije i njeno naslijeđe</w:t>
            </w:r>
          </w:p>
        </w:tc>
      </w:tr>
      <w:tr w:rsidR="00B24DAE" w:rsidRPr="002271E2" w14:paraId="10B10C56" w14:textId="77777777" w:rsidTr="00B24DAE">
        <w:trPr>
          <w:trHeight w:val="4299"/>
        </w:trPr>
        <w:tc>
          <w:tcPr>
            <w:tcW w:w="10489" w:type="dxa"/>
            <w:gridSpan w:val="4"/>
            <w:tcBorders>
              <w:top w:val="single" w:sz="4" w:space="0" w:color="auto"/>
              <w:left w:val="single" w:sz="4" w:space="0" w:color="auto"/>
              <w:bottom w:val="single" w:sz="4" w:space="0" w:color="auto"/>
              <w:right w:val="single" w:sz="4" w:space="0" w:color="auto"/>
            </w:tcBorders>
            <w:hideMark/>
          </w:tcPr>
          <w:p w14:paraId="7913B0A5" w14:textId="77777777" w:rsidR="00B24DAE" w:rsidRPr="002271E2" w:rsidRDefault="00B24DAE" w:rsidP="00514CA1">
            <w:pPr>
              <w:rPr>
                <w:bCs/>
                <w:lang w:val="hr-HR"/>
              </w:rPr>
            </w:pPr>
            <w:r w:rsidRPr="002271E2">
              <w:rPr>
                <w:bCs/>
                <w:lang w:val="hr-HR"/>
              </w:rPr>
              <w:t>Sadržaj / struktura predmeta:</w:t>
            </w:r>
          </w:p>
          <w:p w14:paraId="036CB5D6" w14:textId="77777777" w:rsidR="00B24DAE" w:rsidRPr="002271E2" w:rsidRDefault="00B24DAE" w:rsidP="00514CA1">
            <w:pPr>
              <w:pStyle w:val="ListParagraph"/>
              <w:rPr>
                <w:bCs/>
                <w:lang w:val="hr-HR"/>
              </w:rPr>
            </w:pPr>
            <w:r w:rsidRPr="002271E2">
              <w:rPr>
                <w:bCs/>
                <w:lang w:val="hr-HR"/>
              </w:rPr>
              <w:t>I. Izvori za proučavanje prethistorijskog i antičkog doba na tlu današnje Bosne i Hercegovine; Metode istraživanja</w:t>
            </w:r>
          </w:p>
          <w:p w14:paraId="7C888B03" w14:textId="77777777" w:rsidR="00B24DAE" w:rsidRPr="002271E2" w:rsidRDefault="00B24DAE" w:rsidP="00514CA1">
            <w:pPr>
              <w:pStyle w:val="ListParagraph"/>
              <w:rPr>
                <w:bCs/>
                <w:lang w:val="hr-HR"/>
              </w:rPr>
            </w:pPr>
            <w:r w:rsidRPr="002271E2">
              <w:rPr>
                <w:bCs/>
                <w:lang w:val="hr-HR"/>
              </w:rPr>
              <w:t>II. Odnos arheologije i historije; Pomoćne arheološke i historijske nauke</w:t>
            </w:r>
          </w:p>
          <w:p w14:paraId="1D49DBBE" w14:textId="77777777" w:rsidR="00B24DAE" w:rsidRPr="002271E2" w:rsidRDefault="00B24DAE" w:rsidP="00514CA1">
            <w:pPr>
              <w:pStyle w:val="ListParagraph"/>
              <w:rPr>
                <w:bCs/>
                <w:lang w:val="hr-HR"/>
              </w:rPr>
            </w:pPr>
            <w:r w:rsidRPr="002271E2">
              <w:rPr>
                <w:bCs/>
                <w:lang w:val="hr-HR"/>
              </w:rPr>
              <w:t>III. Analiza antičkih narativnih izvora; Bosanskohercegovačka antička historiografija</w:t>
            </w:r>
          </w:p>
          <w:p w14:paraId="357FBFFF" w14:textId="77777777" w:rsidR="00B24DAE" w:rsidRPr="002271E2" w:rsidRDefault="00B24DAE" w:rsidP="00514CA1">
            <w:pPr>
              <w:pStyle w:val="ListParagraph"/>
              <w:rPr>
                <w:bCs/>
                <w:lang w:val="hr-HR"/>
              </w:rPr>
            </w:pPr>
            <w:r w:rsidRPr="002271E2">
              <w:rPr>
                <w:bCs/>
                <w:lang w:val="hr-HR"/>
              </w:rPr>
              <w:t>IV. Kameno doba: privreda i društvo</w:t>
            </w:r>
          </w:p>
          <w:p w14:paraId="00F5676B" w14:textId="77777777" w:rsidR="00B24DAE" w:rsidRPr="002271E2" w:rsidRDefault="00B24DAE" w:rsidP="00514CA1">
            <w:pPr>
              <w:pStyle w:val="ListParagraph"/>
              <w:rPr>
                <w:bCs/>
                <w:lang w:val="hr-HR"/>
              </w:rPr>
            </w:pPr>
            <w:r w:rsidRPr="002271E2">
              <w:rPr>
                <w:bCs/>
                <w:lang w:val="hr-HR"/>
              </w:rPr>
              <w:t>V. Metalno doba: privreda i društvo</w:t>
            </w:r>
          </w:p>
          <w:p w14:paraId="618D15D0" w14:textId="77777777" w:rsidR="00B24DAE" w:rsidRPr="002271E2" w:rsidRDefault="00B24DAE" w:rsidP="00514CA1">
            <w:pPr>
              <w:pStyle w:val="ListParagraph"/>
              <w:rPr>
                <w:bCs/>
                <w:lang w:val="hr-HR"/>
              </w:rPr>
            </w:pPr>
            <w:r w:rsidRPr="002271E2">
              <w:rPr>
                <w:bCs/>
                <w:lang w:val="hr-HR"/>
              </w:rPr>
              <w:t xml:space="preserve">VI. Religija, naselja, arhitektura i umjetnost prethistorijskog doba </w:t>
            </w:r>
          </w:p>
          <w:p w14:paraId="7C8AB144" w14:textId="77777777" w:rsidR="00B24DAE" w:rsidRPr="002271E2" w:rsidRDefault="00B24DAE" w:rsidP="00514CA1">
            <w:pPr>
              <w:pStyle w:val="ListParagraph"/>
              <w:rPr>
                <w:bCs/>
                <w:lang w:val="hr-HR"/>
              </w:rPr>
            </w:pPr>
            <w:r w:rsidRPr="002271E2">
              <w:rPr>
                <w:bCs/>
                <w:lang w:val="hr-HR"/>
              </w:rPr>
              <w:t>VII. Ilirske i panonske zajednice</w:t>
            </w:r>
          </w:p>
          <w:p w14:paraId="6FBF67CD" w14:textId="77777777" w:rsidR="00B24DAE" w:rsidRPr="002271E2" w:rsidRDefault="00B24DAE" w:rsidP="00514CA1">
            <w:pPr>
              <w:pStyle w:val="ListParagraph"/>
              <w:rPr>
                <w:bCs/>
                <w:lang w:val="hr-HR"/>
              </w:rPr>
            </w:pPr>
            <w:r w:rsidRPr="002271E2">
              <w:rPr>
                <w:bCs/>
                <w:lang w:val="hr-HR"/>
              </w:rPr>
              <w:t>VIII. Rimsko osvajanje Ilirika; Položaj Bosne i Hercegovine unutar novoformiranih rimskih provincija: Dalmacije i Panonije</w:t>
            </w:r>
          </w:p>
          <w:p w14:paraId="1CFE051B" w14:textId="77777777" w:rsidR="00B24DAE" w:rsidRPr="002271E2" w:rsidRDefault="00B24DAE" w:rsidP="00514CA1">
            <w:pPr>
              <w:pStyle w:val="ListParagraph"/>
              <w:rPr>
                <w:bCs/>
                <w:lang w:val="hr-HR"/>
              </w:rPr>
            </w:pPr>
            <w:r w:rsidRPr="002271E2">
              <w:rPr>
                <w:bCs/>
                <w:lang w:val="hr-HR"/>
              </w:rPr>
              <w:t>IX. Uprava</w:t>
            </w:r>
          </w:p>
          <w:p w14:paraId="5816AA5C" w14:textId="77777777" w:rsidR="00B24DAE" w:rsidRPr="002271E2" w:rsidRDefault="00B24DAE" w:rsidP="00514CA1">
            <w:pPr>
              <w:pStyle w:val="ListParagraph"/>
              <w:rPr>
                <w:bCs/>
                <w:lang w:val="hr-HR"/>
              </w:rPr>
            </w:pPr>
            <w:r w:rsidRPr="002271E2">
              <w:rPr>
                <w:bCs/>
                <w:lang w:val="hr-HR"/>
              </w:rPr>
              <w:t>X. Privreda antičkog društva</w:t>
            </w:r>
          </w:p>
          <w:p w14:paraId="7892652F" w14:textId="77777777" w:rsidR="00B24DAE" w:rsidRPr="002271E2" w:rsidRDefault="00B24DAE" w:rsidP="00514CA1">
            <w:pPr>
              <w:pStyle w:val="ListParagraph"/>
              <w:rPr>
                <w:bCs/>
                <w:lang w:val="hr-HR"/>
              </w:rPr>
            </w:pPr>
            <w:r w:rsidRPr="002271E2">
              <w:rPr>
                <w:bCs/>
                <w:lang w:val="hr-HR"/>
              </w:rPr>
              <w:t>XI. Društvena transformacija</w:t>
            </w:r>
          </w:p>
          <w:p w14:paraId="2340AD25" w14:textId="77777777" w:rsidR="00B24DAE" w:rsidRPr="002271E2" w:rsidRDefault="00B24DAE" w:rsidP="00514CA1">
            <w:pPr>
              <w:pStyle w:val="ListParagraph"/>
              <w:rPr>
                <w:bCs/>
                <w:lang w:val="hr-HR"/>
              </w:rPr>
            </w:pPr>
            <w:r w:rsidRPr="002271E2">
              <w:rPr>
                <w:bCs/>
                <w:lang w:val="hr-HR"/>
              </w:rPr>
              <w:t>XII. Komunikacije i naselja</w:t>
            </w:r>
          </w:p>
          <w:p w14:paraId="033F1BAB" w14:textId="77777777" w:rsidR="00B24DAE" w:rsidRPr="002271E2" w:rsidRDefault="00B24DAE" w:rsidP="00514CA1">
            <w:pPr>
              <w:pStyle w:val="ListParagraph"/>
              <w:rPr>
                <w:bCs/>
                <w:lang w:val="hr-HR"/>
              </w:rPr>
            </w:pPr>
            <w:r w:rsidRPr="002271E2">
              <w:rPr>
                <w:bCs/>
                <w:lang w:val="hr-HR"/>
              </w:rPr>
              <w:t>XIII. Religija</w:t>
            </w:r>
          </w:p>
          <w:p w14:paraId="27151D94" w14:textId="77777777" w:rsidR="00B24DAE" w:rsidRPr="002271E2" w:rsidRDefault="00B24DAE" w:rsidP="00514CA1">
            <w:pPr>
              <w:pStyle w:val="ListParagraph"/>
              <w:rPr>
                <w:bCs/>
                <w:lang w:val="hr-HR"/>
              </w:rPr>
            </w:pPr>
            <w:r w:rsidRPr="002271E2">
              <w:rPr>
                <w:bCs/>
                <w:lang w:val="hr-HR"/>
              </w:rPr>
              <w:t>XIV. Bosna i Hercegovina nakon pada Zapadnog Rimskog Carstva</w:t>
            </w:r>
          </w:p>
          <w:p w14:paraId="701C81EB" w14:textId="77777777" w:rsidR="00B24DAE" w:rsidRPr="002271E2" w:rsidRDefault="00B24DAE" w:rsidP="00514CA1">
            <w:pPr>
              <w:pStyle w:val="ListParagraph"/>
              <w:rPr>
                <w:bCs/>
                <w:lang w:val="hr-HR"/>
              </w:rPr>
            </w:pPr>
            <w:r w:rsidRPr="002271E2">
              <w:rPr>
                <w:bCs/>
                <w:lang w:val="hr-HR"/>
              </w:rPr>
              <w:t>XV. Vladavina Ostrogota; Prodor Avara i Slavena</w:t>
            </w:r>
          </w:p>
        </w:tc>
      </w:tr>
      <w:tr w:rsidR="00B24DAE" w:rsidRPr="002271E2" w14:paraId="67B02C84" w14:textId="77777777" w:rsidTr="00B24DAE">
        <w:trPr>
          <w:trHeight w:val="2155"/>
        </w:trPr>
        <w:tc>
          <w:tcPr>
            <w:tcW w:w="10489" w:type="dxa"/>
            <w:gridSpan w:val="4"/>
            <w:tcBorders>
              <w:top w:val="single" w:sz="4" w:space="0" w:color="auto"/>
              <w:left w:val="single" w:sz="4" w:space="0" w:color="auto"/>
              <w:bottom w:val="single" w:sz="4" w:space="0" w:color="auto"/>
              <w:right w:val="single" w:sz="4" w:space="0" w:color="auto"/>
            </w:tcBorders>
            <w:hideMark/>
          </w:tcPr>
          <w:p w14:paraId="7332EB5F" w14:textId="77777777" w:rsidR="00B24DAE" w:rsidRPr="002271E2" w:rsidRDefault="00B24DAE" w:rsidP="00514CA1">
            <w:pPr>
              <w:jc w:val="both"/>
              <w:rPr>
                <w:b/>
                <w:bCs/>
                <w:lang w:val="hr-HR"/>
              </w:rPr>
            </w:pPr>
            <w:r w:rsidRPr="002271E2">
              <w:rPr>
                <w:b/>
                <w:bCs/>
                <w:lang w:val="hr-HR"/>
              </w:rPr>
              <w:lastRenderedPageBreak/>
              <w:t>Osnovna literatura:</w:t>
            </w:r>
          </w:p>
          <w:p w14:paraId="566333A0" w14:textId="77777777" w:rsidR="00B24DAE" w:rsidRPr="002271E2" w:rsidRDefault="00B24DAE" w:rsidP="00514CA1">
            <w:pPr>
              <w:jc w:val="both"/>
              <w:rPr>
                <w:bCs/>
                <w:lang w:val="hr-HR"/>
              </w:rPr>
            </w:pPr>
            <w:r w:rsidRPr="002271E2">
              <w:rPr>
                <w:bCs/>
                <w:lang w:val="hr-HR"/>
              </w:rPr>
              <w:t xml:space="preserve">Ancient Europe 8000 BC - AD 1000. Encyclopedia of the Barbarian World, vol. I - The Mesolithic to Copper Age (c. 8000-2000 BC), 2004; </w:t>
            </w:r>
          </w:p>
          <w:p w14:paraId="0F20685E" w14:textId="77777777" w:rsidR="00B24DAE" w:rsidRPr="002271E2" w:rsidRDefault="00B24DAE" w:rsidP="00514CA1">
            <w:pPr>
              <w:jc w:val="both"/>
              <w:rPr>
                <w:bCs/>
                <w:lang w:val="hr-HR"/>
              </w:rPr>
            </w:pPr>
            <w:r w:rsidRPr="002271E2">
              <w:rPr>
                <w:bCs/>
                <w:lang w:val="hr-HR"/>
              </w:rPr>
              <w:t xml:space="preserve">Arheološki leksikon Bosne i Hercegovine, tom I, II, III, Sarajevo 1888. </w:t>
            </w:r>
          </w:p>
          <w:p w14:paraId="3AFE4938" w14:textId="77777777" w:rsidR="00B24DAE" w:rsidRPr="002271E2" w:rsidRDefault="00B24DAE" w:rsidP="00514CA1">
            <w:pPr>
              <w:jc w:val="both"/>
              <w:rPr>
                <w:bCs/>
                <w:lang w:val="hr-HR"/>
              </w:rPr>
            </w:pPr>
            <w:r w:rsidRPr="002271E2">
              <w:rPr>
                <w:bCs/>
                <w:lang w:val="hr-HR"/>
              </w:rPr>
              <w:t xml:space="preserve">I. Bojanovski, Bosna i Hercegovina u antičko doba, Sarajevo 1988; </w:t>
            </w:r>
          </w:p>
          <w:p w14:paraId="1D01B9F5" w14:textId="77777777" w:rsidR="00B24DAE" w:rsidRPr="002271E2" w:rsidRDefault="00B24DAE" w:rsidP="00514CA1">
            <w:pPr>
              <w:jc w:val="both"/>
              <w:rPr>
                <w:bCs/>
                <w:lang w:val="hr-HR"/>
              </w:rPr>
            </w:pPr>
            <w:r w:rsidRPr="002271E2">
              <w:rPr>
                <w:bCs/>
                <w:lang w:val="hr-HR"/>
              </w:rPr>
              <w:t xml:space="preserve">B. Čović, Od Butmira do Ilira, Sarajevo 1976; </w:t>
            </w:r>
          </w:p>
          <w:p w14:paraId="6592B9C9" w14:textId="77777777" w:rsidR="00B24DAE" w:rsidRPr="002271E2" w:rsidRDefault="00B24DAE" w:rsidP="00514CA1">
            <w:pPr>
              <w:jc w:val="both"/>
              <w:rPr>
                <w:bCs/>
                <w:lang w:val="hr-HR"/>
              </w:rPr>
            </w:pPr>
            <w:r w:rsidRPr="002271E2">
              <w:rPr>
                <w:bCs/>
                <w:lang w:val="hr-HR"/>
              </w:rPr>
              <w:t xml:space="preserve">Grupa autora, Kulturna istorija Bosne i Hercegovine, Sarajevo 1984. </w:t>
            </w:r>
          </w:p>
          <w:p w14:paraId="749BA001" w14:textId="77777777" w:rsidR="00B24DAE" w:rsidRPr="002271E2" w:rsidRDefault="00B24DAE" w:rsidP="00514CA1">
            <w:pPr>
              <w:jc w:val="both"/>
              <w:rPr>
                <w:bCs/>
                <w:lang w:val="hr-HR"/>
              </w:rPr>
            </w:pPr>
            <w:r w:rsidRPr="002271E2">
              <w:rPr>
                <w:bCs/>
                <w:lang w:val="hr-HR"/>
              </w:rPr>
              <w:t xml:space="preserve">I. Hawkes, Praistorija, u ediciji: Historija čovječanstva, tom I, Zagreb 1966; </w:t>
            </w:r>
          </w:p>
          <w:p w14:paraId="4E3D0552" w14:textId="48EE2F5B" w:rsidR="00B24DAE" w:rsidRPr="002271E2" w:rsidRDefault="00B24DAE" w:rsidP="00514CA1">
            <w:pPr>
              <w:jc w:val="both"/>
              <w:rPr>
                <w:bCs/>
                <w:lang w:val="hr-HR"/>
              </w:rPr>
            </w:pPr>
            <w:r w:rsidRPr="002271E2">
              <w:rPr>
                <w:bCs/>
                <w:lang w:val="hr-HR"/>
              </w:rPr>
              <w:t xml:space="preserve">E. Imamović, Antički kultni i votivni spomenici na području Bosne i Hercegovine, Sarajevo 1977; </w:t>
            </w:r>
          </w:p>
          <w:p w14:paraId="34F24507" w14:textId="77777777" w:rsidR="00B24DAE" w:rsidRPr="002271E2" w:rsidRDefault="00B24DAE" w:rsidP="00514CA1">
            <w:pPr>
              <w:jc w:val="both"/>
              <w:rPr>
                <w:bCs/>
                <w:lang w:val="hr-HR"/>
              </w:rPr>
            </w:pPr>
            <w:r w:rsidRPr="002271E2">
              <w:rPr>
                <w:b/>
                <w:bCs/>
                <w:lang w:val="hr-HR"/>
              </w:rPr>
              <w:t>Ostala literatura</w:t>
            </w:r>
            <w:r w:rsidRPr="002271E2">
              <w:rPr>
                <w:bCs/>
                <w:lang w:val="hr-HR"/>
              </w:rPr>
              <w:t xml:space="preserve">: </w:t>
            </w:r>
          </w:p>
          <w:p w14:paraId="69559DB2" w14:textId="77777777" w:rsidR="00B24DAE" w:rsidRPr="002271E2" w:rsidRDefault="00B24DAE" w:rsidP="00514CA1">
            <w:pPr>
              <w:jc w:val="both"/>
              <w:rPr>
                <w:bCs/>
                <w:lang w:val="hr-HR"/>
              </w:rPr>
            </w:pPr>
            <w:r w:rsidRPr="002271E2">
              <w:rPr>
                <w:bCs/>
                <w:lang w:val="hr-HR"/>
              </w:rPr>
              <w:t xml:space="preserve">E. Imamović, Korijeni Bosne i bosanstva, Sarajevo 1995; </w:t>
            </w:r>
          </w:p>
          <w:p w14:paraId="637B2E48" w14:textId="77777777" w:rsidR="00B24DAE" w:rsidRPr="002271E2" w:rsidRDefault="00B24DAE" w:rsidP="00514CA1">
            <w:pPr>
              <w:jc w:val="both"/>
              <w:rPr>
                <w:bCs/>
                <w:lang w:val="hr-HR"/>
              </w:rPr>
            </w:pPr>
            <w:r w:rsidRPr="002271E2">
              <w:rPr>
                <w:bCs/>
                <w:lang w:val="hr-HR"/>
              </w:rPr>
              <w:t xml:space="preserve">J. Neustupni, Praistorija čovječanstva, Sarajevo 1960; </w:t>
            </w:r>
          </w:p>
          <w:p w14:paraId="575A12C2" w14:textId="77777777" w:rsidR="00B24DAE" w:rsidRPr="002271E2" w:rsidRDefault="00B24DAE" w:rsidP="00514CA1">
            <w:pPr>
              <w:jc w:val="both"/>
              <w:rPr>
                <w:bCs/>
                <w:lang w:val="hr-HR"/>
              </w:rPr>
            </w:pPr>
            <w:r w:rsidRPr="002271E2">
              <w:rPr>
                <w:bCs/>
                <w:lang w:val="hr-HR"/>
              </w:rPr>
              <w:t xml:space="preserve">G. Novak, Prošlost Dalmacije, Zagreb 1944; </w:t>
            </w:r>
          </w:p>
          <w:p w14:paraId="3915484B" w14:textId="77777777" w:rsidR="00B24DAE" w:rsidRPr="002271E2" w:rsidRDefault="00B24DAE" w:rsidP="00514CA1">
            <w:pPr>
              <w:jc w:val="both"/>
              <w:rPr>
                <w:bCs/>
                <w:lang w:val="hr-HR"/>
              </w:rPr>
            </w:pPr>
            <w:r w:rsidRPr="002271E2">
              <w:rPr>
                <w:bCs/>
                <w:lang w:val="hr-HR"/>
              </w:rPr>
              <w:t xml:space="preserve">B. Omerčević, Arheologija, Tuzla 1995; </w:t>
            </w:r>
          </w:p>
          <w:p w14:paraId="42D3864C" w14:textId="77777777" w:rsidR="00B24DAE" w:rsidRPr="002271E2" w:rsidRDefault="00B24DAE" w:rsidP="00514CA1">
            <w:pPr>
              <w:jc w:val="both"/>
              <w:rPr>
                <w:bCs/>
                <w:lang w:val="hr-HR"/>
              </w:rPr>
            </w:pPr>
            <w:r w:rsidRPr="002271E2">
              <w:rPr>
                <w:bCs/>
                <w:lang w:val="hr-HR"/>
              </w:rPr>
              <w:t xml:space="preserve">B. Omerčević, Bosna i Hercegovina u vrijeme kasne antike, Tuzla 2010; </w:t>
            </w:r>
          </w:p>
          <w:p w14:paraId="2969877E" w14:textId="77777777" w:rsidR="00B24DAE" w:rsidRPr="002271E2" w:rsidRDefault="00B24DAE" w:rsidP="00514CA1">
            <w:pPr>
              <w:jc w:val="both"/>
              <w:rPr>
                <w:bCs/>
                <w:lang w:val="hr-HR"/>
              </w:rPr>
            </w:pPr>
            <w:r w:rsidRPr="002271E2">
              <w:rPr>
                <w:bCs/>
                <w:lang w:val="hr-HR"/>
              </w:rPr>
              <w:t xml:space="preserve">E. Pašalić, Antička naselja i komunikacije u Bosni i Hercegovini, Sarajevo 1960; </w:t>
            </w:r>
          </w:p>
          <w:p w14:paraId="4BFCBFDE" w14:textId="77777777" w:rsidR="00B24DAE" w:rsidRPr="002271E2" w:rsidRDefault="00B24DAE" w:rsidP="00514CA1">
            <w:pPr>
              <w:jc w:val="both"/>
              <w:rPr>
                <w:bCs/>
                <w:lang w:val="hr-HR"/>
              </w:rPr>
            </w:pPr>
            <w:r w:rsidRPr="002271E2">
              <w:rPr>
                <w:bCs/>
                <w:lang w:val="hr-HR"/>
              </w:rPr>
              <w:t xml:space="preserve">Praistorija jugoslavenskih zemalja, tom I - Paleolit i mezolit i tom II – Neolit, Sarajevo 1979, </w:t>
            </w:r>
          </w:p>
          <w:p w14:paraId="14A89BB5" w14:textId="77777777" w:rsidR="00B24DAE" w:rsidRPr="002271E2" w:rsidRDefault="00B24DAE" w:rsidP="00514CA1">
            <w:pPr>
              <w:jc w:val="both"/>
              <w:rPr>
                <w:bCs/>
                <w:lang w:val="hr-HR"/>
              </w:rPr>
            </w:pPr>
            <w:r w:rsidRPr="002271E2">
              <w:rPr>
                <w:bCs/>
                <w:lang w:val="hr-HR"/>
              </w:rPr>
              <w:t xml:space="preserve">K. Greene, Archaeology, An Introduction, London 2001; </w:t>
            </w:r>
          </w:p>
          <w:p w14:paraId="3D255B46" w14:textId="77777777" w:rsidR="00B24DAE" w:rsidRPr="002271E2" w:rsidRDefault="00B24DAE" w:rsidP="00514CA1">
            <w:pPr>
              <w:jc w:val="both"/>
              <w:rPr>
                <w:bCs/>
                <w:lang w:val="hr-HR"/>
              </w:rPr>
            </w:pPr>
            <w:r w:rsidRPr="002271E2">
              <w:rPr>
                <w:bCs/>
                <w:lang w:val="hr-HR"/>
              </w:rPr>
              <w:t xml:space="preserve">A. Šačić Beća, Sjeverna Bosna u okvirima rimske Panonije 2022; </w:t>
            </w:r>
          </w:p>
          <w:p w14:paraId="16020CC2" w14:textId="236A394F" w:rsidR="00B24DAE" w:rsidRPr="002271E2" w:rsidRDefault="00B24DAE" w:rsidP="00514CA1">
            <w:pPr>
              <w:jc w:val="both"/>
              <w:rPr>
                <w:bCs/>
                <w:lang w:val="hr-HR"/>
              </w:rPr>
            </w:pPr>
            <w:r w:rsidRPr="002271E2">
              <w:rPr>
                <w:bCs/>
                <w:lang w:val="hr-HR"/>
              </w:rPr>
              <w:t>M. Imamović, Sjeveroistočna Bosna u antičko doba, Tuzla 2023.</w:t>
            </w:r>
          </w:p>
        </w:tc>
      </w:tr>
    </w:tbl>
    <w:p w14:paraId="7443424F" w14:textId="7304A181" w:rsidR="00280DCA" w:rsidRDefault="00280DCA" w:rsidP="005D26B9"/>
    <w:tbl>
      <w:tblPr>
        <w:tblpPr w:leftFromText="180" w:rightFromText="180" w:bottomFromText="160" w:vertAnchor="text" w:horzAnchor="margin" w:tblpX="-318" w:tblpY="541"/>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3389"/>
        <w:gridCol w:w="1479"/>
        <w:gridCol w:w="1910"/>
      </w:tblGrid>
      <w:tr w:rsidR="00D12FF8" w:rsidRPr="002271E2" w14:paraId="6DA57939" w14:textId="77777777" w:rsidTr="007F5EAC">
        <w:trPr>
          <w:cantSplit/>
          <w:trHeight w:val="268"/>
        </w:trPr>
        <w:tc>
          <w:tcPr>
            <w:tcW w:w="8578"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A1CB13D" w14:textId="7B68E714" w:rsidR="00D12FF8" w:rsidRPr="002271E2" w:rsidRDefault="00D12FF8" w:rsidP="007F5EAC">
            <w:pPr>
              <w:jc w:val="both"/>
              <w:rPr>
                <w:color w:val="auto"/>
                <w:lang w:val="hr-HR" w:eastAsia="en-US"/>
              </w:rPr>
            </w:pPr>
            <w:r w:rsidRPr="002271E2">
              <w:rPr>
                <w:lang w:val="hr-HR"/>
              </w:rPr>
              <w:t xml:space="preserve">Naziv predmeta: </w:t>
            </w:r>
            <w:r>
              <w:rPr>
                <w:b/>
                <w:bCs/>
                <w:lang w:val="hr-HR"/>
              </w:rPr>
              <w:t>Bosanske zemlje u srednjem vijeku</w:t>
            </w: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9C820F7" w14:textId="77777777" w:rsidR="00D12FF8" w:rsidRPr="002271E2" w:rsidRDefault="00D12FF8" w:rsidP="007F5EAC">
            <w:pPr>
              <w:jc w:val="center"/>
              <w:rPr>
                <w:lang w:val="hr-HR"/>
              </w:rPr>
            </w:pPr>
            <w:r w:rsidRPr="002271E2">
              <w:rPr>
                <w:lang w:val="hr-HR"/>
              </w:rPr>
              <w:t>ECTS</w:t>
            </w:r>
          </w:p>
        </w:tc>
      </w:tr>
      <w:tr w:rsidR="00D12FF8" w:rsidRPr="002271E2" w14:paraId="5C8E93B1" w14:textId="77777777" w:rsidTr="007F5EAC">
        <w:trPr>
          <w:cantSplit/>
          <w:trHeight w:val="268"/>
        </w:trPr>
        <w:tc>
          <w:tcPr>
            <w:tcW w:w="17270" w:type="dxa"/>
            <w:gridSpan w:val="3"/>
            <w:vMerge/>
            <w:tcBorders>
              <w:top w:val="single" w:sz="4" w:space="0" w:color="auto"/>
              <w:left w:val="single" w:sz="4" w:space="0" w:color="auto"/>
              <w:bottom w:val="single" w:sz="4" w:space="0" w:color="auto"/>
              <w:right w:val="single" w:sz="4" w:space="0" w:color="auto"/>
            </w:tcBorders>
            <w:vAlign w:val="center"/>
            <w:hideMark/>
          </w:tcPr>
          <w:p w14:paraId="00286337" w14:textId="77777777" w:rsidR="00D12FF8" w:rsidRPr="002271E2" w:rsidRDefault="00D12FF8" w:rsidP="007F5EAC">
            <w:pPr>
              <w:spacing w:line="276" w:lineRule="auto"/>
              <w:rPr>
                <w:lang w:val="hr-HR" w:eastAsia="en-US"/>
              </w:rPr>
            </w:pP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72F0DA" w14:textId="77777777" w:rsidR="00D12FF8" w:rsidRPr="002271E2" w:rsidRDefault="00D12FF8" w:rsidP="007F5EAC">
            <w:pPr>
              <w:jc w:val="center"/>
              <w:rPr>
                <w:lang w:val="hr-HR"/>
              </w:rPr>
            </w:pPr>
            <w:r w:rsidRPr="002271E2">
              <w:rPr>
                <w:lang w:val="hr-HR"/>
              </w:rPr>
              <w:t>6</w:t>
            </w:r>
          </w:p>
        </w:tc>
      </w:tr>
      <w:tr w:rsidR="00D12FF8" w:rsidRPr="002271E2" w14:paraId="6E012BC3" w14:textId="77777777" w:rsidTr="007F5EAC">
        <w:trPr>
          <w:trHeight w:val="268"/>
        </w:trPr>
        <w:tc>
          <w:tcPr>
            <w:tcW w:w="10489" w:type="dxa"/>
            <w:gridSpan w:val="4"/>
            <w:tcBorders>
              <w:top w:val="single" w:sz="4" w:space="0" w:color="auto"/>
              <w:left w:val="single" w:sz="4" w:space="0" w:color="auto"/>
              <w:bottom w:val="single" w:sz="4" w:space="0" w:color="auto"/>
              <w:right w:val="single" w:sz="4" w:space="0" w:color="auto"/>
            </w:tcBorders>
            <w:vAlign w:val="center"/>
            <w:hideMark/>
          </w:tcPr>
          <w:p w14:paraId="64C4D3E0" w14:textId="77777777" w:rsidR="00D12FF8" w:rsidRPr="002271E2" w:rsidRDefault="00D12FF8" w:rsidP="007F5EAC">
            <w:pPr>
              <w:jc w:val="center"/>
              <w:rPr>
                <w:lang w:val="en-US"/>
              </w:rPr>
            </w:pPr>
            <w:r w:rsidRPr="002271E2">
              <w:rPr>
                <w:lang w:val="hr-HR"/>
              </w:rPr>
              <w:t xml:space="preserve">Ukupan broj sati u semestru:  </w:t>
            </w:r>
          </w:p>
        </w:tc>
      </w:tr>
      <w:tr w:rsidR="00D12FF8" w:rsidRPr="002271E2" w14:paraId="2A6D9952" w14:textId="77777777" w:rsidTr="007F5EAC">
        <w:trPr>
          <w:trHeight w:val="268"/>
        </w:trPr>
        <w:tc>
          <w:tcPr>
            <w:tcW w:w="3708" w:type="dxa"/>
            <w:tcBorders>
              <w:top w:val="single" w:sz="4" w:space="0" w:color="auto"/>
              <w:left w:val="single" w:sz="4" w:space="0" w:color="auto"/>
              <w:bottom w:val="single" w:sz="4" w:space="0" w:color="auto"/>
              <w:right w:val="single" w:sz="4" w:space="0" w:color="auto"/>
            </w:tcBorders>
            <w:hideMark/>
          </w:tcPr>
          <w:p w14:paraId="3DF8CD8D" w14:textId="77777777" w:rsidR="00D12FF8" w:rsidRPr="002271E2" w:rsidRDefault="00D12FF8" w:rsidP="007F5EAC">
            <w:pPr>
              <w:jc w:val="center"/>
              <w:rPr>
                <w:lang w:val="hr-HR"/>
              </w:rPr>
            </w:pPr>
            <w:r w:rsidRPr="002271E2">
              <w:rPr>
                <w:lang w:val="hr-HR"/>
              </w:rPr>
              <w:t>Semestar: I</w:t>
            </w:r>
          </w:p>
        </w:tc>
        <w:tc>
          <w:tcPr>
            <w:tcW w:w="3390" w:type="dxa"/>
            <w:tcBorders>
              <w:top w:val="single" w:sz="4" w:space="0" w:color="auto"/>
              <w:left w:val="single" w:sz="4" w:space="0" w:color="auto"/>
              <w:bottom w:val="single" w:sz="4" w:space="0" w:color="auto"/>
              <w:right w:val="single" w:sz="4" w:space="0" w:color="auto"/>
            </w:tcBorders>
            <w:hideMark/>
          </w:tcPr>
          <w:p w14:paraId="0CF281DA" w14:textId="0B59465B" w:rsidR="00D12FF8" w:rsidRPr="002271E2" w:rsidRDefault="00D12FF8" w:rsidP="007F5EAC">
            <w:pPr>
              <w:jc w:val="center"/>
              <w:rPr>
                <w:lang w:val="hr-HR"/>
              </w:rPr>
            </w:pPr>
            <w:r w:rsidRPr="002271E2">
              <w:rPr>
                <w:lang w:val="hr-HR"/>
              </w:rPr>
              <w:t xml:space="preserve">Predavanja: </w:t>
            </w:r>
            <w:r w:rsidR="00121698">
              <w:rPr>
                <w:lang w:val="hr-HR"/>
              </w:rPr>
              <w:t>30</w:t>
            </w:r>
          </w:p>
        </w:tc>
        <w:tc>
          <w:tcPr>
            <w:tcW w:w="3391" w:type="dxa"/>
            <w:gridSpan w:val="2"/>
            <w:tcBorders>
              <w:top w:val="single" w:sz="4" w:space="0" w:color="auto"/>
              <w:left w:val="single" w:sz="4" w:space="0" w:color="auto"/>
              <w:bottom w:val="single" w:sz="4" w:space="0" w:color="auto"/>
              <w:right w:val="single" w:sz="4" w:space="0" w:color="auto"/>
            </w:tcBorders>
            <w:hideMark/>
          </w:tcPr>
          <w:p w14:paraId="4E6C43B0" w14:textId="7FAC92F0" w:rsidR="00D12FF8" w:rsidRPr="002271E2" w:rsidRDefault="00D12FF8" w:rsidP="007F5EAC">
            <w:pPr>
              <w:jc w:val="center"/>
              <w:rPr>
                <w:lang w:val="hr-HR"/>
              </w:rPr>
            </w:pPr>
            <w:r w:rsidRPr="002271E2">
              <w:rPr>
                <w:lang w:val="hr-HR"/>
              </w:rPr>
              <w:t xml:space="preserve">Vježbe (A+L) : </w:t>
            </w:r>
            <w:r w:rsidR="00121698">
              <w:rPr>
                <w:lang w:val="hr-HR"/>
              </w:rPr>
              <w:t>30</w:t>
            </w:r>
          </w:p>
        </w:tc>
      </w:tr>
      <w:tr w:rsidR="00D12FF8" w:rsidRPr="002271E2" w14:paraId="0847FBC9" w14:textId="77777777" w:rsidTr="007F5EAC">
        <w:trPr>
          <w:cantSplit/>
          <w:trHeight w:val="268"/>
        </w:trPr>
        <w:tc>
          <w:tcPr>
            <w:tcW w:w="10489" w:type="dxa"/>
            <w:gridSpan w:val="4"/>
            <w:tcBorders>
              <w:top w:val="single" w:sz="4" w:space="0" w:color="auto"/>
              <w:left w:val="single" w:sz="4" w:space="0" w:color="auto"/>
              <w:bottom w:val="single" w:sz="4" w:space="0" w:color="auto"/>
              <w:right w:val="single" w:sz="4" w:space="0" w:color="auto"/>
            </w:tcBorders>
            <w:hideMark/>
          </w:tcPr>
          <w:p w14:paraId="499FA539" w14:textId="77777777" w:rsidR="00D12FF8" w:rsidRPr="002271E2" w:rsidRDefault="00D12FF8" w:rsidP="007F5EAC">
            <w:pPr>
              <w:rPr>
                <w:bCs/>
                <w:lang w:val="hr-HR"/>
              </w:rPr>
            </w:pPr>
            <w:r w:rsidRPr="002271E2">
              <w:rPr>
                <w:bCs/>
                <w:lang w:val="hr-HR"/>
              </w:rPr>
              <w:t>Cilj kolegija:</w:t>
            </w:r>
          </w:p>
          <w:p w14:paraId="393B489C" w14:textId="77777777" w:rsidR="00D12FF8" w:rsidRDefault="00D12FF8" w:rsidP="007F5EAC">
            <w:pPr>
              <w:pStyle w:val="ListParagraph"/>
              <w:numPr>
                <w:ilvl w:val="0"/>
                <w:numId w:val="10"/>
              </w:numPr>
              <w:tabs>
                <w:tab w:val="clear" w:pos="708"/>
              </w:tabs>
              <w:suppressAutoHyphens w:val="0"/>
              <w:contextualSpacing/>
              <w:jc w:val="both"/>
              <w:rPr>
                <w:bCs/>
                <w:lang w:val="hr-HR"/>
              </w:rPr>
            </w:pPr>
            <w:r w:rsidRPr="00D12FF8">
              <w:rPr>
                <w:bCs/>
                <w:lang w:val="hr-HR"/>
              </w:rPr>
              <w:t xml:space="preserve">Osposobiti studente da razumiju faze i procese u razvoju srednjovjekovne Bosne, od ranosrednjovjekovnih sklavinija, preko vremena Bosanske banovine, pa do formiranja i egzistencije Bosanske kraljevine. </w:t>
            </w:r>
          </w:p>
          <w:p w14:paraId="40771158" w14:textId="77777777" w:rsidR="00D12FF8" w:rsidRDefault="00D12FF8" w:rsidP="007F5EAC">
            <w:pPr>
              <w:pStyle w:val="ListParagraph"/>
              <w:numPr>
                <w:ilvl w:val="0"/>
                <w:numId w:val="10"/>
              </w:numPr>
              <w:tabs>
                <w:tab w:val="clear" w:pos="708"/>
              </w:tabs>
              <w:suppressAutoHyphens w:val="0"/>
              <w:contextualSpacing/>
              <w:jc w:val="both"/>
              <w:rPr>
                <w:bCs/>
                <w:lang w:val="hr-HR"/>
              </w:rPr>
            </w:pPr>
            <w:r w:rsidRPr="00D12FF8">
              <w:rPr>
                <w:bCs/>
                <w:lang w:val="hr-HR"/>
              </w:rPr>
              <w:t xml:space="preserve">Pored političkog razvoja, studenti će pobliže upoznati i administrativni ustroj srednjovjekovne Bosne, počev od početnog nivoa župe, pa do zemalja kao najvećih teritorijalnih jedinica. </w:t>
            </w:r>
          </w:p>
          <w:p w14:paraId="56A80EAE" w14:textId="325D4D9B" w:rsidR="00D12FF8" w:rsidRPr="002271E2" w:rsidRDefault="00D12FF8" w:rsidP="007F5EAC">
            <w:pPr>
              <w:pStyle w:val="ListParagraph"/>
              <w:numPr>
                <w:ilvl w:val="0"/>
                <w:numId w:val="10"/>
              </w:numPr>
              <w:tabs>
                <w:tab w:val="clear" w:pos="708"/>
              </w:tabs>
              <w:suppressAutoHyphens w:val="0"/>
              <w:contextualSpacing/>
              <w:jc w:val="both"/>
              <w:rPr>
                <w:bCs/>
                <w:lang w:val="hr-HR"/>
              </w:rPr>
            </w:pPr>
            <w:r w:rsidRPr="00D12FF8">
              <w:rPr>
                <w:bCs/>
                <w:lang w:val="hr-HR"/>
              </w:rPr>
              <w:t>U okviru sagledavanja razvoja srednjovjekovne bosanske politije posebna pažnja bit će posvećena proučavanju vazalnih odnosa kao najvažnije dinamike za svako srednjovjekovno društvo.</w:t>
            </w:r>
          </w:p>
        </w:tc>
      </w:tr>
      <w:tr w:rsidR="00D12FF8" w:rsidRPr="002271E2" w14:paraId="04180A00" w14:textId="77777777" w:rsidTr="007F5EAC">
        <w:trPr>
          <w:trHeight w:val="4299"/>
        </w:trPr>
        <w:tc>
          <w:tcPr>
            <w:tcW w:w="10489" w:type="dxa"/>
            <w:gridSpan w:val="4"/>
            <w:tcBorders>
              <w:top w:val="single" w:sz="4" w:space="0" w:color="auto"/>
              <w:left w:val="single" w:sz="4" w:space="0" w:color="auto"/>
              <w:bottom w:val="single" w:sz="4" w:space="0" w:color="auto"/>
              <w:right w:val="single" w:sz="4" w:space="0" w:color="auto"/>
            </w:tcBorders>
            <w:hideMark/>
          </w:tcPr>
          <w:p w14:paraId="4C9307F0" w14:textId="32E1353C" w:rsidR="00D12FF8" w:rsidRDefault="00D12FF8" w:rsidP="007F5EAC">
            <w:pPr>
              <w:rPr>
                <w:bCs/>
                <w:lang w:val="hr-HR"/>
              </w:rPr>
            </w:pPr>
            <w:r w:rsidRPr="002271E2">
              <w:rPr>
                <w:bCs/>
                <w:lang w:val="hr-HR"/>
              </w:rPr>
              <w:lastRenderedPageBreak/>
              <w:t>Sadržaj / struktura predmeta:</w:t>
            </w:r>
          </w:p>
          <w:p w14:paraId="135D1890" w14:textId="77777777" w:rsidR="00D12FF8" w:rsidRPr="00D12FF8" w:rsidRDefault="00D12FF8" w:rsidP="00D12FF8">
            <w:pPr>
              <w:rPr>
                <w:bCs/>
                <w:lang w:val="hr-HR"/>
              </w:rPr>
            </w:pPr>
            <w:r w:rsidRPr="00D12FF8">
              <w:rPr>
                <w:bCs/>
                <w:lang w:val="hr-HR"/>
              </w:rPr>
              <w:t>1. Historiografija o srednjovjekovnoj Bosni;</w:t>
            </w:r>
          </w:p>
          <w:p w14:paraId="7583F9B7" w14:textId="77777777" w:rsidR="00D12FF8" w:rsidRPr="00D12FF8" w:rsidRDefault="00D12FF8" w:rsidP="00D12FF8">
            <w:pPr>
              <w:rPr>
                <w:bCs/>
                <w:lang w:val="hr-HR"/>
              </w:rPr>
            </w:pPr>
            <w:r w:rsidRPr="00D12FF8">
              <w:rPr>
                <w:bCs/>
                <w:lang w:val="hr-HR"/>
              </w:rPr>
              <w:t>2. Kratki osvrt na faze političke historije srednjovjekovne Bosne;</w:t>
            </w:r>
          </w:p>
          <w:p w14:paraId="630FE487" w14:textId="77777777" w:rsidR="00D12FF8" w:rsidRPr="00D12FF8" w:rsidRDefault="00D12FF8" w:rsidP="00D12FF8">
            <w:pPr>
              <w:rPr>
                <w:bCs/>
                <w:lang w:val="hr-HR"/>
              </w:rPr>
            </w:pPr>
            <w:r w:rsidRPr="00D12FF8">
              <w:rPr>
                <w:bCs/>
                <w:lang w:val="hr-HR"/>
              </w:rPr>
              <w:t>3. Historijska geografija srednjovjekovne Bosne: župe i zemlje;</w:t>
            </w:r>
          </w:p>
          <w:p w14:paraId="73BF0367" w14:textId="77777777" w:rsidR="00D12FF8" w:rsidRPr="00D12FF8" w:rsidRDefault="00D12FF8" w:rsidP="00D12FF8">
            <w:pPr>
              <w:rPr>
                <w:bCs/>
                <w:lang w:val="hr-HR"/>
              </w:rPr>
            </w:pPr>
            <w:r w:rsidRPr="00D12FF8">
              <w:rPr>
                <w:bCs/>
                <w:lang w:val="hr-HR"/>
              </w:rPr>
              <w:t xml:space="preserve">4. Kraljeva zemlja/Contrata del Re u izvorima i historiografiji, </w:t>
            </w:r>
          </w:p>
          <w:p w14:paraId="01F289FF" w14:textId="77777777" w:rsidR="00D12FF8" w:rsidRPr="00D12FF8" w:rsidRDefault="00D12FF8" w:rsidP="00D12FF8">
            <w:pPr>
              <w:rPr>
                <w:bCs/>
                <w:lang w:val="hr-HR"/>
              </w:rPr>
            </w:pPr>
            <w:r w:rsidRPr="00D12FF8">
              <w:rPr>
                <w:bCs/>
                <w:lang w:val="hr-HR"/>
              </w:rPr>
              <w:t>5. Širenje Bosne na sjever - Usora i Soli;</w:t>
            </w:r>
          </w:p>
          <w:p w14:paraId="50A4AD9D" w14:textId="77777777" w:rsidR="00D12FF8" w:rsidRPr="00D12FF8" w:rsidRDefault="00D12FF8" w:rsidP="00D12FF8">
            <w:pPr>
              <w:rPr>
                <w:bCs/>
                <w:lang w:val="hr-HR"/>
              </w:rPr>
            </w:pPr>
            <w:r w:rsidRPr="00D12FF8">
              <w:rPr>
                <w:bCs/>
                <w:lang w:val="hr-HR"/>
              </w:rPr>
              <w:t>6. Širenje Bosne na zapad - Donji Kraji, Zapadne Strane i vlast nad Dalmacijom;</w:t>
            </w:r>
          </w:p>
          <w:p w14:paraId="58A53FCB" w14:textId="77777777" w:rsidR="00D12FF8" w:rsidRPr="00D12FF8" w:rsidRDefault="00D12FF8" w:rsidP="00D12FF8">
            <w:pPr>
              <w:rPr>
                <w:bCs/>
                <w:lang w:val="hr-HR"/>
              </w:rPr>
            </w:pPr>
            <w:r w:rsidRPr="00D12FF8">
              <w:rPr>
                <w:bCs/>
                <w:lang w:val="hr-HR"/>
              </w:rPr>
              <w:t>7. Širenje Bosne na istok - Podrinje i Polimlje;</w:t>
            </w:r>
          </w:p>
          <w:p w14:paraId="568D44D5" w14:textId="77777777" w:rsidR="00D12FF8" w:rsidRPr="00D12FF8" w:rsidRDefault="00D12FF8" w:rsidP="00D12FF8">
            <w:pPr>
              <w:rPr>
                <w:bCs/>
                <w:lang w:val="hr-HR"/>
              </w:rPr>
            </w:pPr>
            <w:r w:rsidRPr="00D12FF8">
              <w:rPr>
                <w:bCs/>
                <w:lang w:val="hr-HR"/>
              </w:rPr>
              <w:t>8. Širenje Bosne na jug - Humska zemlja;</w:t>
            </w:r>
          </w:p>
          <w:p w14:paraId="0496836A" w14:textId="77777777" w:rsidR="00D12FF8" w:rsidRPr="00D12FF8" w:rsidRDefault="00D12FF8" w:rsidP="00D12FF8">
            <w:pPr>
              <w:rPr>
                <w:bCs/>
                <w:lang w:val="hr-HR"/>
              </w:rPr>
            </w:pPr>
            <w:r w:rsidRPr="00D12FF8">
              <w:rPr>
                <w:bCs/>
                <w:lang w:val="hr-HR"/>
              </w:rPr>
              <w:t>9. Vladajuća dinastija Kotromanića i Bosanski stanak;</w:t>
            </w:r>
          </w:p>
          <w:p w14:paraId="1D3C196E" w14:textId="77777777" w:rsidR="00D12FF8" w:rsidRPr="00D12FF8" w:rsidRDefault="00D12FF8" w:rsidP="00D12FF8">
            <w:pPr>
              <w:rPr>
                <w:bCs/>
                <w:lang w:val="hr-HR"/>
              </w:rPr>
            </w:pPr>
            <w:r w:rsidRPr="00D12FF8">
              <w:rPr>
                <w:bCs/>
                <w:lang w:val="hr-HR"/>
              </w:rPr>
              <w:t>10. Crkva bosanska kao osnovni dio društva;</w:t>
            </w:r>
          </w:p>
          <w:p w14:paraId="25A852FA" w14:textId="77777777" w:rsidR="00D12FF8" w:rsidRPr="00D12FF8" w:rsidRDefault="00D12FF8" w:rsidP="00D12FF8">
            <w:pPr>
              <w:rPr>
                <w:bCs/>
                <w:lang w:val="hr-HR"/>
              </w:rPr>
            </w:pPr>
            <w:r w:rsidRPr="00D12FF8">
              <w:rPr>
                <w:bCs/>
                <w:lang w:val="hr-HR"/>
              </w:rPr>
              <w:t>11. Pravni običaji srednjovjekovne Bosne;</w:t>
            </w:r>
          </w:p>
          <w:p w14:paraId="4583F545" w14:textId="77777777" w:rsidR="00D12FF8" w:rsidRPr="00D12FF8" w:rsidRDefault="00D12FF8" w:rsidP="00D12FF8">
            <w:pPr>
              <w:rPr>
                <w:bCs/>
                <w:lang w:val="hr-HR"/>
              </w:rPr>
            </w:pPr>
            <w:r w:rsidRPr="00D12FF8">
              <w:rPr>
                <w:bCs/>
                <w:lang w:val="hr-HR"/>
              </w:rPr>
              <w:t>12. Vanjskopolitički odnosi Bosanske kraljevine: Dubrovnik i Ugarska kraljevina;</w:t>
            </w:r>
          </w:p>
          <w:p w14:paraId="72653799" w14:textId="77777777" w:rsidR="00D12FF8" w:rsidRPr="00D12FF8" w:rsidRDefault="00D12FF8" w:rsidP="00D12FF8">
            <w:pPr>
              <w:rPr>
                <w:bCs/>
                <w:lang w:val="hr-HR"/>
              </w:rPr>
            </w:pPr>
            <w:r w:rsidRPr="00D12FF8">
              <w:rPr>
                <w:bCs/>
                <w:lang w:val="hr-HR"/>
              </w:rPr>
              <w:t>13. Vanjskopolitički odnosi Bosanske kraljevine: Venecija i Rimska kurija;</w:t>
            </w:r>
          </w:p>
          <w:p w14:paraId="3012D920" w14:textId="77777777" w:rsidR="00D12FF8" w:rsidRPr="00D12FF8" w:rsidRDefault="00D12FF8" w:rsidP="00D12FF8">
            <w:pPr>
              <w:rPr>
                <w:bCs/>
                <w:lang w:val="hr-HR"/>
              </w:rPr>
            </w:pPr>
            <w:r w:rsidRPr="00D12FF8">
              <w:rPr>
                <w:bCs/>
                <w:lang w:val="hr-HR"/>
              </w:rPr>
              <w:t>14. Posebni slučajevi bosanskog srednjovjekovnog društva: žene, Vlasi i Sasi;</w:t>
            </w:r>
          </w:p>
          <w:p w14:paraId="04C41797" w14:textId="5E2073DE" w:rsidR="00D12FF8" w:rsidRPr="00D12FF8" w:rsidRDefault="00D12FF8" w:rsidP="00D12FF8">
            <w:pPr>
              <w:rPr>
                <w:bCs/>
                <w:lang w:val="hr-HR"/>
              </w:rPr>
            </w:pPr>
            <w:r w:rsidRPr="00D12FF8">
              <w:rPr>
                <w:bCs/>
                <w:lang w:val="hr-HR"/>
              </w:rPr>
              <w:t>15. Historijat otpora osmanskoj okupaciji i konačno uništenje Bosanske kraljevine 1463.</w:t>
            </w:r>
          </w:p>
          <w:p w14:paraId="6EC7DA8B" w14:textId="41466406" w:rsidR="00D12FF8" w:rsidRPr="002271E2" w:rsidRDefault="00D12FF8" w:rsidP="00D12FF8">
            <w:pPr>
              <w:pStyle w:val="ListParagraph"/>
              <w:rPr>
                <w:bCs/>
                <w:lang w:val="hr-HR"/>
              </w:rPr>
            </w:pPr>
          </w:p>
        </w:tc>
      </w:tr>
      <w:tr w:rsidR="00D12FF8" w:rsidRPr="002271E2" w14:paraId="4798D249" w14:textId="77777777" w:rsidTr="007F5EAC">
        <w:trPr>
          <w:trHeight w:val="2155"/>
        </w:trPr>
        <w:tc>
          <w:tcPr>
            <w:tcW w:w="10489" w:type="dxa"/>
            <w:gridSpan w:val="4"/>
            <w:tcBorders>
              <w:top w:val="single" w:sz="4" w:space="0" w:color="auto"/>
              <w:left w:val="single" w:sz="4" w:space="0" w:color="auto"/>
              <w:bottom w:val="single" w:sz="4" w:space="0" w:color="auto"/>
              <w:right w:val="single" w:sz="4" w:space="0" w:color="auto"/>
            </w:tcBorders>
            <w:hideMark/>
          </w:tcPr>
          <w:p w14:paraId="29444D16" w14:textId="77777777" w:rsidR="00D12FF8" w:rsidRPr="002271E2" w:rsidRDefault="00D12FF8" w:rsidP="007F5EAC">
            <w:pPr>
              <w:jc w:val="both"/>
              <w:rPr>
                <w:b/>
                <w:bCs/>
                <w:lang w:val="hr-HR"/>
              </w:rPr>
            </w:pPr>
            <w:r w:rsidRPr="002271E2">
              <w:rPr>
                <w:b/>
                <w:bCs/>
                <w:lang w:val="hr-HR"/>
              </w:rPr>
              <w:t>Osnovna literatura:</w:t>
            </w:r>
          </w:p>
          <w:p w14:paraId="6396763E" w14:textId="77777777" w:rsidR="00D12FF8" w:rsidRPr="00D12FF8" w:rsidRDefault="00D12FF8" w:rsidP="00D12FF8">
            <w:pPr>
              <w:jc w:val="both"/>
              <w:rPr>
                <w:bCs/>
                <w:lang w:val="hr-HR"/>
              </w:rPr>
            </w:pPr>
            <w:r w:rsidRPr="00D12FF8">
              <w:rPr>
                <w:bCs/>
                <w:lang w:val="hr-HR"/>
              </w:rPr>
              <w:t xml:space="preserve">• Pavao Anđelić, Studije o teritorijalnopolitičkoj organizaciji srednjovjekovne Bosne, Svjetlost, Sarajevo 1982. </w:t>
            </w:r>
          </w:p>
          <w:p w14:paraId="1E43188B" w14:textId="77777777" w:rsidR="00D12FF8" w:rsidRPr="00D12FF8" w:rsidRDefault="00D12FF8" w:rsidP="00D12FF8">
            <w:pPr>
              <w:jc w:val="both"/>
              <w:rPr>
                <w:bCs/>
                <w:lang w:val="hr-HR"/>
              </w:rPr>
            </w:pPr>
            <w:r w:rsidRPr="00D12FF8">
              <w:rPr>
                <w:bCs/>
                <w:lang w:val="hr-HR"/>
              </w:rPr>
              <w:t>• Anto Babić, Diplomatska služba u srednjovjekovnoj Bosni, Međunarodni centar za mir, Sarajevo 1995.</w:t>
            </w:r>
          </w:p>
          <w:p w14:paraId="0F11552E" w14:textId="77777777" w:rsidR="00D12FF8" w:rsidRPr="00D12FF8" w:rsidRDefault="00D12FF8" w:rsidP="00D12FF8">
            <w:pPr>
              <w:jc w:val="both"/>
              <w:rPr>
                <w:bCs/>
                <w:lang w:val="hr-HR"/>
              </w:rPr>
            </w:pPr>
            <w:r w:rsidRPr="00D12FF8">
              <w:rPr>
                <w:bCs/>
                <w:lang w:val="hr-HR"/>
              </w:rPr>
              <w:t>• Sima Ćirković, Istorija srednjovekovne bosanske države, Beograd 1964.</w:t>
            </w:r>
          </w:p>
          <w:p w14:paraId="26FD8088" w14:textId="77777777" w:rsidR="00D12FF8" w:rsidRPr="00D12FF8" w:rsidRDefault="00D12FF8" w:rsidP="00D12FF8">
            <w:pPr>
              <w:jc w:val="both"/>
              <w:rPr>
                <w:bCs/>
                <w:lang w:val="hr-HR"/>
              </w:rPr>
            </w:pPr>
            <w:r w:rsidRPr="00D12FF8">
              <w:rPr>
                <w:bCs/>
                <w:lang w:val="hr-HR"/>
              </w:rPr>
              <w:t>• Mihailo Dinić, Državni sabor srednjovekovne Bosne, Beograd 1955.</w:t>
            </w:r>
          </w:p>
          <w:p w14:paraId="6638AB6F" w14:textId="77777777" w:rsidR="00D12FF8" w:rsidRPr="00D12FF8" w:rsidRDefault="00D12FF8" w:rsidP="00D12FF8">
            <w:pPr>
              <w:jc w:val="both"/>
              <w:rPr>
                <w:bCs/>
                <w:lang w:val="hr-HR"/>
              </w:rPr>
            </w:pPr>
            <w:r w:rsidRPr="00D12FF8">
              <w:rPr>
                <w:bCs/>
                <w:lang w:val="hr-HR"/>
              </w:rPr>
              <w:t>• Povijest Bosne i Hercegovine od najstarijih vremena do 1463, HKD Napredak, Sarajevo 1942 (1999).</w:t>
            </w:r>
          </w:p>
          <w:p w14:paraId="2715ACD9" w14:textId="77777777" w:rsidR="00D12FF8" w:rsidRPr="00D12FF8" w:rsidRDefault="00D12FF8" w:rsidP="00D12FF8">
            <w:pPr>
              <w:jc w:val="both"/>
              <w:rPr>
                <w:bCs/>
                <w:lang w:val="hr-HR"/>
              </w:rPr>
            </w:pPr>
            <w:r w:rsidRPr="00D12FF8">
              <w:rPr>
                <w:bCs/>
                <w:lang w:val="hr-HR"/>
              </w:rPr>
              <w:t>• Dubravko Lovrenović, Bosanska kvadratura kruga, Dobra knjiga-Synopsis, Sarajevo-Zagreb 2012.</w:t>
            </w:r>
          </w:p>
          <w:p w14:paraId="3A436C26" w14:textId="0594CD6A" w:rsidR="00D12FF8" w:rsidRPr="002271E2" w:rsidRDefault="00D12FF8" w:rsidP="00D12FF8">
            <w:pPr>
              <w:jc w:val="both"/>
              <w:rPr>
                <w:bCs/>
                <w:lang w:val="hr-HR"/>
              </w:rPr>
            </w:pPr>
            <w:r w:rsidRPr="00D12FF8">
              <w:rPr>
                <w:bCs/>
                <w:lang w:val="hr-HR"/>
              </w:rPr>
              <w:t>• Pejo Ćošković, Crkva bosanska u XV. stoljeću, Institut za istoriju, Sarajevo 2005.</w:t>
            </w:r>
          </w:p>
        </w:tc>
      </w:tr>
    </w:tbl>
    <w:p w14:paraId="13B4CCAC" w14:textId="77777777" w:rsidR="00D12FF8" w:rsidRPr="00EF27F0" w:rsidRDefault="00D12FF8" w:rsidP="005D26B9"/>
    <w:tbl>
      <w:tblPr>
        <w:tblpPr w:leftFromText="180" w:rightFromText="180" w:bottomFromText="160" w:vertAnchor="text" w:horzAnchor="margin" w:tblpX="-318" w:tblpY="541"/>
        <w:tblW w:w="104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7"/>
        <w:gridCol w:w="3389"/>
        <w:gridCol w:w="1479"/>
        <w:gridCol w:w="1910"/>
      </w:tblGrid>
      <w:tr w:rsidR="002271E2" w:rsidRPr="002271E2" w14:paraId="1D1B6819" w14:textId="77777777" w:rsidTr="00FC5C23">
        <w:trPr>
          <w:cantSplit/>
          <w:trHeight w:val="268"/>
        </w:trPr>
        <w:tc>
          <w:tcPr>
            <w:tcW w:w="8575"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E07538" w14:textId="085B480F" w:rsidR="002271E2" w:rsidRPr="002271E2" w:rsidRDefault="002271E2" w:rsidP="00FC5C23">
            <w:pPr>
              <w:tabs>
                <w:tab w:val="clear" w:pos="708"/>
              </w:tabs>
              <w:suppressAutoHyphens w:val="0"/>
              <w:rPr>
                <w:color w:val="auto"/>
                <w:lang w:val="hr-HR" w:eastAsia="en-US"/>
              </w:rPr>
            </w:pPr>
            <w:r w:rsidRPr="002271E2">
              <w:rPr>
                <w:color w:val="auto"/>
                <w:lang w:val="hr-HR" w:eastAsia="en-US"/>
              </w:rPr>
              <w:t xml:space="preserve">Naziv predmeta: </w:t>
            </w:r>
            <w:r w:rsidRPr="002271E2">
              <w:rPr>
                <w:rFonts w:eastAsia="Calibri"/>
                <w:color w:val="auto"/>
                <w:lang w:val="hr-HR" w:eastAsia="en-US"/>
              </w:rPr>
              <w:t xml:space="preserve"> </w:t>
            </w:r>
            <w:r w:rsidR="00FC5C23" w:rsidRPr="00FC5C23">
              <w:rPr>
                <w:rFonts w:eastAsia="Calibri"/>
                <w:b/>
                <w:bCs/>
                <w:color w:val="auto"/>
                <w:lang w:val="hr-HR" w:eastAsia="en-US"/>
              </w:rPr>
              <w:t>Bosna i Hercegovina u novom vijeku: k</w:t>
            </w:r>
            <w:proofErr w:type="spellStart"/>
            <w:r w:rsidRPr="002271E2">
              <w:rPr>
                <w:rFonts w:eastAsia="Calibri"/>
                <w:b/>
                <w:bCs/>
                <w:color w:val="auto"/>
                <w:lang w:val="en-US" w:eastAsia="en-US"/>
              </w:rPr>
              <w:t>ontinuitet</w:t>
            </w:r>
            <w:proofErr w:type="spellEnd"/>
            <w:r w:rsidRPr="002271E2">
              <w:rPr>
                <w:rFonts w:eastAsia="Calibri"/>
                <w:b/>
                <w:bCs/>
                <w:color w:val="auto"/>
                <w:lang w:val="en-US" w:eastAsia="en-US"/>
              </w:rPr>
              <w:t xml:space="preserve"> </w:t>
            </w:r>
            <w:proofErr w:type="spellStart"/>
            <w:r w:rsidRPr="002271E2">
              <w:rPr>
                <w:rFonts w:eastAsia="Calibri"/>
                <w:b/>
                <w:bCs/>
                <w:color w:val="auto"/>
                <w:lang w:val="en-US" w:eastAsia="en-US"/>
              </w:rPr>
              <w:t>identiteta</w:t>
            </w:r>
            <w:proofErr w:type="spellEnd"/>
            <w:r w:rsidRPr="002271E2">
              <w:rPr>
                <w:rFonts w:eastAsia="Calibri"/>
                <w:b/>
                <w:bCs/>
                <w:color w:val="auto"/>
                <w:lang w:val="en-US" w:eastAsia="en-US"/>
              </w:rPr>
              <w:t xml:space="preserve"> </w:t>
            </w:r>
            <w:proofErr w:type="spellStart"/>
            <w:r w:rsidRPr="002271E2">
              <w:rPr>
                <w:rFonts w:eastAsia="Calibri"/>
                <w:b/>
                <w:bCs/>
                <w:color w:val="auto"/>
                <w:lang w:val="en-US" w:eastAsia="en-US"/>
              </w:rPr>
              <w:t>i</w:t>
            </w:r>
            <w:proofErr w:type="spellEnd"/>
            <w:r w:rsidRPr="002271E2">
              <w:rPr>
                <w:rFonts w:eastAsia="Calibri"/>
                <w:b/>
                <w:bCs/>
                <w:color w:val="auto"/>
                <w:lang w:val="en-US" w:eastAsia="en-US"/>
              </w:rPr>
              <w:t xml:space="preserve"> </w:t>
            </w:r>
            <w:proofErr w:type="spellStart"/>
            <w:r w:rsidRPr="002271E2">
              <w:rPr>
                <w:rFonts w:eastAsia="Calibri"/>
                <w:b/>
                <w:bCs/>
                <w:color w:val="auto"/>
                <w:lang w:val="en-US" w:eastAsia="en-US"/>
              </w:rPr>
              <w:t>posebnosti</w:t>
            </w:r>
            <w:proofErr w:type="spellEnd"/>
            <w:r w:rsidRPr="002271E2">
              <w:rPr>
                <w:rFonts w:eastAsia="Calibri"/>
                <w:b/>
                <w:bCs/>
                <w:color w:val="auto"/>
                <w:lang w:val="en-US" w:eastAsia="en-US"/>
              </w:rPr>
              <w:t xml:space="preserve"> (</w:t>
            </w:r>
            <w:proofErr w:type="spellStart"/>
            <w:r w:rsidRPr="002271E2">
              <w:rPr>
                <w:rFonts w:eastAsia="Calibri"/>
                <w:b/>
                <w:bCs/>
                <w:color w:val="auto"/>
                <w:lang w:val="en-US" w:eastAsia="en-US"/>
              </w:rPr>
              <w:t>državnosti</w:t>
            </w:r>
            <w:proofErr w:type="spellEnd"/>
            <w:r w:rsidRPr="002271E2">
              <w:rPr>
                <w:rFonts w:eastAsia="Calibri"/>
                <w:b/>
                <w:bCs/>
                <w:color w:val="auto"/>
                <w:lang w:val="en-US" w:eastAsia="en-US"/>
              </w:rPr>
              <w:t>) (1463-1878)</w:t>
            </w:r>
          </w:p>
        </w:tc>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FDA7CF" w14:textId="77777777" w:rsidR="002271E2" w:rsidRPr="002271E2" w:rsidRDefault="002271E2" w:rsidP="002271E2">
            <w:pPr>
              <w:tabs>
                <w:tab w:val="clear" w:pos="708"/>
              </w:tabs>
              <w:suppressAutoHyphens w:val="0"/>
              <w:jc w:val="center"/>
              <w:rPr>
                <w:color w:val="auto"/>
                <w:lang w:val="hr-HR" w:eastAsia="en-US"/>
              </w:rPr>
            </w:pPr>
            <w:r w:rsidRPr="002271E2">
              <w:rPr>
                <w:color w:val="auto"/>
                <w:lang w:val="hr-HR" w:eastAsia="en-US"/>
              </w:rPr>
              <w:t>ECTS</w:t>
            </w:r>
          </w:p>
        </w:tc>
      </w:tr>
      <w:tr w:rsidR="002271E2" w:rsidRPr="002271E2" w14:paraId="53C2D1F1" w14:textId="77777777" w:rsidTr="00FC5C23">
        <w:trPr>
          <w:cantSplit/>
          <w:trHeight w:val="268"/>
        </w:trPr>
        <w:tc>
          <w:tcPr>
            <w:tcW w:w="8575" w:type="dxa"/>
            <w:gridSpan w:val="3"/>
            <w:vMerge/>
            <w:tcBorders>
              <w:top w:val="single" w:sz="4" w:space="0" w:color="auto"/>
              <w:left w:val="single" w:sz="4" w:space="0" w:color="auto"/>
              <w:bottom w:val="single" w:sz="4" w:space="0" w:color="auto"/>
              <w:right w:val="single" w:sz="4" w:space="0" w:color="auto"/>
            </w:tcBorders>
            <w:vAlign w:val="center"/>
            <w:hideMark/>
          </w:tcPr>
          <w:p w14:paraId="3F754DE4" w14:textId="77777777" w:rsidR="002271E2" w:rsidRPr="002271E2" w:rsidRDefault="002271E2" w:rsidP="002271E2">
            <w:pPr>
              <w:tabs>
                <w:tab w:val="clear" w:pos="708"/>
              </w:tabs>
              <w:suppressAutoHyphens w:val="0"/>
              <w:spacing w:line="276" w:lineRule="auto"/>
              <w:rPr>
                <w:color w:val="auto"/>
                <w:lang w:val="hr-HR" w:eastAsia="en-US"/>
              </w:rPr>
            </w:pPr>
          </w:p>
        </w:tc>
        <w:tc>
          <w:tcPr>
            <w:tcW w:w="19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39F042" w14:textId="77777777" w:rsidR="002271E2" w:rsidRPr="002271E2" w:rsidRDefault="002271E2" w:rsidP="002271E2">
            <w:pPr>
              <w:tabs>
                <w:tab w:val="clear" w:pos="708"/>
              </w:tabs>
              <w:suppressAutoHyphens w:val="0"/>
              <w:jc w:val="center"/>
              <w:rPr>
                <w:color w:val="auto"/>
                <w:lang w:val="hr-HR" w:eastAsia="en-US"/>
              </w:rPr>
            </w:pPr>
            <w:r w:rsidRPr="002271E2">
              <w:rPr>
                <w:color w:val="auto"/>
                <w:lang w:val="hr-HR" w:eastAsia="en-US"/>
              </w:rPr>
              <w:t>6</w:t>
            </w:r>
          </w:p>
        </w:tc>
      </w:tr>
      <w:tr w:rsidR="002271E2" w:rsidRPr="002271E2" w14:paraId="4911B3A5" w14:textId="77777777" w:rsidTr="00FC5C23">
        <w:trPr>
          <w:trHeight w:val="268"/>
        </w:trPr>
        <w:tc>
          <w:tcPr>
            <w:tcW w:w="10485" w:type="dxa"/>
            <w:gridSpan w:val="4"/>
            <w:tcBorders>
              <w:top w:val="single" w:sz="4" w:space="0" w:color="auto"/>
              <w:left w:val="single" w:sz="4" w:space="0" w:color="auto"/>
              <w:bottom w:val="single" w:sz="4" w:space="0" w:color="auto"/>
              <w:right w:val="single" w:sz="4" w:space="0" w:color="auto"/>
            </w:tcBorders>
            <w:vAlign w:val="center"/>
            <w:hideMark/>
          </w:tcPr>
          <w:p w14:paraId="73FCECB4" w14:textId="77777777" w:rsidR="002271E2" w:rsidRPr="002271E2" w:rsidRDefault="002271E2" w:rsidP="002271E2">
            <w:pPr>
              <w:tabs>
                <w:tab w:val="clear" w:pos="708"/>
              </w:tabs>
              <w:suppressAutoHyphens w:val="0"/>
              <w:jc w:val="center"/>
              <w:rPr>
                <w:color w:val="auto"/>
                <w:lang w:val="en-US" w:eastAsia="en-US"/>
              </w:rPr>
            </w:pPr>
            <w:r w:rsidRPr="002271E2">
              <w:rPr>
                <w:color w:val="auto"/>
                <w:lang w:val="hr-HR" w:eastAsia="en-US"/>
              </w:rPr>
              <w:t xml:space="preserve">Ukupan broj sati u semestru:  </w:t>
            </w:r>
          </w:p>
        </w:tc>
      </w:tr>
      <w:tr w:rsidR="002271E2" w:rsidRPr="002271E2" w14:paraId="7DD02866" w14:textId="77777777" w:rsidTr="00FC5C23">
        <w:trPr>
          <w:trHeight w:val="268"/>
        </w:trPr>
        <w:tc>
          <w:tcPr>
            <w:tcW w:w="3707" w:type="dxa"/>
            <w:tcBorders>
              <w:top w:val="single" w:sz="4" w:space="0" w:color="auto"/>
              <w:left w:val="single" w:sz="4" w:space="0" w:color="auto"/>
              <w:bottom w:val="single" w:sz="4" w:space="0" w:color="auto"/>
              <w:right w:val="single" w:sz="4" w:space="0" w:color="auto"/>
            </w:tcBorders>
            <w:hideMark/>
          </w:tcPr>
          <w:p w14:paraId="47259D54" w14:textId="77777777" w:rsidR="002271E2" w:rsidRPr="002271E2" w:rsidRDefault="002271E2" w:rsidP="002271E2">
            <w:pPr>
              <w:tabs>
                <w:tab w:val="clear" w:pos="708"/>
              </w:tabs>
              <w:suppressAutoHyphens w:val="0"/>
              <w:jc w:val="center"/>
              <w:rPr>
                <w:color w:val="auto"/>
                <w:lang w:val="hr-HR" w:eastAsia="en-US"/>
              </w:rPr>
            </w:pPr>
            <w:r w:rsidRPr="002271E2">
              <w:rPr>
                <w:color w:val="auto"/>
                <w:lang w:val="hr-HR" w:eastAsia="en-US"/>
              </w:rPr>
              <w:t>Semestar: I</w:t>
            </w:r>
          </w:p>
        </w:tc>
        <w:tc>
          <w:tcPr>
            <w:tcW w:w="3389" w:type="dxa"/>
            <w:tcBorders>
              <w:top w:val="single" w:sz="4" w:space="0" w:color="auto"/>
              <w:left w:val="single" w:sz="4" w:space="0" w:color="auto"/>
              <w:bottom w:val="single" w:sz="4" w:space="0" w:color="auto"/>
              <w:right w:val="single" w:sz="4" w:space="0" w:color="auto"/>
            </w:tcBorders>
            <w:hideMark/>
          </w:tcPr>
          <w:p w14:paraId="091177EF" w14:textId="723CE247" w:rsidR="002271E2" w:rsidRPr="002271E2" w:rsidRDefault="002271E2" w:rsidP="002271E2">
            <w:pPr>
              <w:tabs>
                <w:tab w:val="clear" w:pos="708"/>
              </w:tabs>
              <w:suppressAutoHyphens w:val="0"/>
              <w:jc w:val="center"/>
              <w:rPr>
                <w:color w:val="auto"/>
                <w:lang w:val="hr-HR" w:eastAsia="en-US"/>
              </w:rPr>
            </w:pPr>
            <w:r w:rsidRPr="002271E2">
              <w:rPr>
                <w:color w:val="auto"/>
                <w:lang w:val="hr-HR" w:eastAsia="en-US"/>
              </w:rPr>
              <w:t xml:space="preserve">Predavanja: </w:t>
            </w:r>
            <w:r w:rsidR="00121698">
              <w:rPr>
                <w:color w:val="auto"/>
                <w:lang w:val="hr-HR" w:eastAsia="en-US"/>
              </w:rPr>
              <w:t>30</w:t>
            </w:r>
          </w:p>
        </w:tc>
        <w:tc>
          <w:tcPr>
            <w:tcW w:w="3389" w:type="dxa"/>
            <w:gridSpan w:val="2"/>
            <w:tcBorders>
              <w:top w:val="single" w:sz="4" w:space="0" w:color="auto"/>
              <w:left w:val="single" w:sz="4" w:space="0" w:color="auto"/>
              <w:bottom w:val="single" w:sz="4" w:space="0" w:color="auto"/>
              <w:right w:val="single" w:sz="4" w:space="0" w:color="auto"/>
            </w:tcBorders>
            <w:hideMark/>
          </w:tcPr>
          <w:p w14:paraId="7E32CC2F" w14:textId="5A39D15C" w:rsidR="002271E2" w:rsidRPr="002271E2" w:rsidRDefault="002271E2" w:rsidP="002271E2">
            <w:pPr>
              <w:tabs>
                <w:tab w:val="clear" w:pos="708"/>
              </w:tabs>
              <w:suppressAutoHyphens w:val="0"/>
              <w:jc w:val="center"/>
              <w:rPr>
                <w:color w:val="auto"/>
                <w:lang w:val="hr-HR" w:eastAsia="en-US"/>
              </w:rPr>
            </w:pPr>
            <w:r w:rsidRPr="002271E2">
              <w:rPr>
                <w:color w:val="auto"/>
                <w:lang w:val="hr-HR" w:eastAsia="en-US"/>
              </w:rPr>
              <w:t xml:space="preserve">Vježbe (A+L) : </w:t>
            </w:r>
            <w:r w:rsidR="00121698">
              <w:rPr>
                <w:color w:val="auto"/>
                <w:lang w:val="hr-HR" w:eastAsia="en-US"/>
              </w:rPr>
              <w:t>30</w:t>
            </w:r>
          </w:p>
        </w:tc>
      </w:tr>
      <w:tr w:rsidR="00FC5C23" w:rsidRPr="002271E2" w14:paraId="4B1DA4DD" w14:textId="77777777" w:rsidTr="00D11CA5">
        <w:trPr>
          <w:trHeight w:val="268"/>
        </w:trPr>
        <w:tc>
          <w:tcPr>
            <w:tcW w:w="10485" w:type="dxa"/>
            <w:gridSpan w:val="4"/>
            <w:tcBorders>
              <w:top w:val="single" w:sz="4" w:space="0" w:color="auto"/>
              <w:left w:val="single" w:sz="4" w:space="0" w:color="auto"/>
              <w:bottom w:val="single" w:sz="4" w:space="0" w:color="auto"/>
              <w:right w:val="single" w:sz="4" w:space="0" w:color="auto"/>
            </w:tcBorders>
          </w:tcPr>
          <w:p w14:paraId="5B1D951E"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Cilj kolegija:</w:t>
            </w:r>
          </w:p>
          <w:p w14:paraId="2C015B70" w14:textId="01853930" w:rsidR="00FC5C23" w:rsidRPr="002271E2" w:rsidRDefault="00FC5C23" w:rsidP="00FC5C23">
            <w:pPr>
              <w:tabs>
                <w:tab w:val="clear" w:pos="708"/>
              </w:tabs>
              <w:suppressAutoHyphens w:val="0"/>
              <w:rPr>
                <w:color w:val="auto"/>
                <w:lang w:val="hr-HR" w:eastAsia="en-US"/>
              </w:rPr>
            </w:pPr>
            <w:r w:rsidRPr="00FC5C23">
              <w:rPr>
                <w:color w:val="auto"/>
                <w:lang w:val="hr-HR" w:eastAsia="en-US"/>
              </w:rPr>
              <w:t>Upoznati studente II ciklusa studuja sa: podjelom historije Osmanskog carstva i Bosne i Hercegovine u novom vijeku, evolutivnim putem kroz koji je prošla Bosna i Hercegovina u vrijeme osmanske uprave, historijskim činjenicama vezanim za ovaj period Osmanskog carstva i Bosne i Hercegovine u novom vijeku, mjestom i ulogom koje je Carstvo imalo  kada je u pitanju prostor Bosne i Hercegovine, religija, kultura,  migraciona kretanja, društveni odnosi, privredne prilike, civilizacijski tokovi, mjestom i ulogom  koju su imale susjedne  zemlje  na prostor Bosne i Hercegovine.</w:t>
            </w:r>
          </w:p>
        </w:tc>
      </w:tr>
      <w:tr w:rsidR="00FC5C23" w:rsidRPr="002271E2" w14:paraId="5EDC1241" w14:textId="77777777" w:rsidTr="00C64AC1">
        <w:trPr>
          <w:trHeight w:val="268"/>
        </w:trPr>
        <w:tc>
          <w:tcPr>
            <w:tcW w:w="10485" w:type="dxa"/>
            <w:gridSpan w:val="4"/>
            <w:tcBorders>
              <w:top w:val="single" w:sz="4" w:space="0" w:color="auto"/>
              <w:left w:val="single" w:sz="4" w:space="0" w:color="auto"/>
              <w:bottom w:val="single" w:sz="4" w:space="0" w:color="auto"/>
              <w:right w:val="single" w:sz="4" w:space="0" w:color="auto"/>
            </w:tcBorders>
          </w:tcPr>
          <w:p w14:paraId="3F926D77"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Sadržaj / struktura predmeta:</w:t>
            </w:r>
          </w:p>
          <w:p w14:paraId="6F7E3BA1"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 xml:space="preserve">I: Upoznavanje sa predmetom i izvorima i literaturom. </w:t>
            </w:r>
          </w:p>
          <w:p w14:paraId="58C281AE"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II: Osmansko-bosanski odnosi od kraja 14. stoljeća do 1463.</w:t>
            </w:r>
          </w:p>
          <w:p w14:paraId="38F5C328" w14:textId="33E86701" w:rsidR="00FC5C23" w:rsidRPr="00FC5C23" w:rsidRDefault="00FC5C23" w:rsidP="00FC5C23">
            <w:pPr>
              <w:tabs>
                <w:tab w:val="clear" w:pos="708"/>
              </w:tabs>
              <w:suppressAutoHyphens w:val="0"/>
              <w:rPr>
                <w:color w:val="auto"/>
                <w:lang w:val="hr-HR" w:eastAsia="en-US"/>
              </w:rPr>
            </w:pPr>
            <w:r w:rsidRPr="00FC5C23">
              <w:rPr>
                <w:color w:val="auto"/>
                <w:lang w:val="hr-HR" w:eastAsia="en-US"/>
              </w:rPr>
              <w:t>III: Osvajanje Bos</w:t>
            </w:r>
            <w:r>
              <w:rPr>
                <w:color w:val="auto"/>
                <w:lang w:val="hr-HR" w:eastAsia="en-US"/>
              </w:rPr>
              <w:t>a</w:t>
            </w:r>
            <w:r w:rsidRPr="00FC5C23">
              <w:rPr>
                <w:color w:val="auto"/>
                <w:lang w:val="hr-HR" w:eastAsia="en-US"/>
              </w:rPr>
              <w:t>nskog kraljevstva i uspostava osmanske vlasti.</w:t>
            </w:r>
          </w:p>
          <w:p w14:paraId="474CB24B"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IV: Teritorijalni okvir: Bosanski, Hercegovački i Zvornički sandžak.</w:t>
            </w:r>
          </w:p>
          <w:p w14:paraId="6460BC23"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V: Teritorijalno širenje, novi sandžaci i osnivanje Bosanskog ejaleta.</w:t>
            </w:r>
          </w:p>
          <w:p w14:paraId="6E1E8332"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VI: Uspostava vlasti, nove provincije, položaj muslimana i nemuslimana.</w:t>
            </w:r>
          </w:p>
          <w:p w14:paraId="239C185E"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lastRenderedPageBreak/>
              <w:t>VII: Širenje islama i orijentalno-islamske kulture  i duhovni život.</w:t>
            </w:r>
          </w:p>
          <w:p w14:paraId="365F83B9"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VIII: Najvažniji historijski događaji i procesi.</w:t>
            </w:r>
          </w:p>
          <w:p w14:paraId="094D252E"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IX: Položaj nemuslimana-katoličke i pravoslavne crkve.</w:t>
            </w:r>
          </w:p>
          <w:p w14:paraId="6F98086F"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 xml:space="preserve">X: Privredni i društveni život </w:t>
            </w:r>
          </w:p>
          <w:p w14:paraId="36888967"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XI: Kultura življenja (arhitektura-urbanizacija, zakralni i profani objekti).</w:t>
            </w:r>
          </w:p>
          <w:p w14:paraId="2F0C10A8"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XII: Duhovna kultura (književnost: arapska, perzijska, osmanska i bosanska)</w:t>
            </w:r>
          </w:p>
          <w:p w14:paraId="7CE7C782"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XIII: Umjestnost u vrijeme osmanske uprave.</w:t>
            </w:r>
          </w:p>
          <w:p w14:paraId="62DDB532"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XIV: Obrazovne prilike u vrijeme osmanske uprave.</w:t>
            </w:r>
          </w:p>
          <w:p w14:paraId="306CF412" w14:textId="6E7D1973" w:rsidR="00FC5C23" w:rsidRPr="002271E2" w:rsidRDefault="00FC5C23" w:rsidP="00FC5C23">
            <w:pPr>
              <w:tabs>
                <w:tab w:val="clear" w:pos="708"/>
              </w:tabs>
              <w:suppressAutoHyphens w:val="0"/>
              <w:rPr>
                <w:color w:val="auto"/>
                <w:lang w:val="hr-HR" w:eastAsia="en-US"/>
              </w:rPr>
            </w:pPr>
            <w:r w:rsidRPr="00FC5C23">
              <w:rPr>
                <w:color w:val="auto"/>
                <w:lang w:val="hr-HR" w:eastAsia="en-US"/>
              </w:rPr>
              <w:t>XV: Nacionalni pokreti i ideja autonomnosti Bosne.</w:t>
            </w:r>
          </w:p>
        </w:tc>
      </w:tr>
      <w:tr w:rsidR="00FC5C23" w:rsidRPr="002271E2" w14:paraId="5E16F32A" w14:textId="77777777" w:rsidTr="00647030">
        <w:trPr>
          <w:trHeight w:val="268"/>
        </w:trPr>
        <w:tc>
          <w:tcPr>
            <w:tcW w:w="10485" w:type="dxa"/>
            <w:gridSpan w:val="4"/>
            <w:tcBorders>
              <w:top w:val="single" w:sz="4" w:space="0" w:color="auto"/>
              <w:left w:val="single" w:sz="4" w:space="0" w:color="auto"/>
              <w:bottom w:val="single" w:sz="4" w:space="0" w:color="auto"/>
              <w:right w:val="single" w:sz="4" w:space="0" w:color="auto"/>
            </w:tcBorders>
          </w:tcPr>
          <w:p w14:paraId="62751292" w14:textId="7B3F0F20" w:rsidR="00FC5C23" w:rsidRDefault="00FC5C23" w:rsidP="00FC5C23">
            <w:pPr>
              <w:tabs>
                <w:tab w:val="clear" w:pos="708"/>
              </w:tabs>
              <w:suppressAutoHyphens w:val="0"/>
              <w:rPr>
                <w:color w:val="auto"/>
                <w:lang w:val="hr-HR" w:eastAsia="en-US"/>
              </w:rPr>
            </w:pPr>
            <w:r>
              <w:rPr>
                <w:color w:val="auto"/>
                <w:lang w:val="hr-HR" w:eastAsia="en-US"/>
              </w:rPr>
              <w:lastRenderedPageBreak/>
              <w:t>Osnovna literatura</w:t>
            </w:r>
          </w:p>
          <w:p w14:paraId="5FF3C5AE" w14:textId="2F0EB651" w:rsidR="00FC5C23" w:rsidRPr="00FC5C23" w:rsidRDefault="00FC5C23" w:rsidP="00FC5C23">
            <w:pPr>
              <w:tabs>
                <w:tab w:val="clear" w:pos="708"/>
              </w:tabs>
              <w:suppressAutoHyphens w:val="0"/>
              <w:rPr>
                <w:color w:val="auto"/>
                <w:lang w:val="hr-HR" w:eastAsia="en-US"/>
              </w:rPr>
            </w:pPr>
            <w:r w:rsidRPr="00FC5C23">
              <w:rPr>
                <w:color w:val="auto"/>
                <w:lang w:val="hr-HR" w:eastAsia="en-US"/>
              </w:rPr>
              <w:t>1. Aličić A, Pokret za autonomiju Bosne od 1831. do 1832, Sarajevo 1996.</w:t>
            </w:r>
          </w:p>
          <w:p w14:paraId="25F3A038"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2. Šljivo G, BiH u XIX stoljeću, Tešanj 2008.</w:t>
            </w:r>
          </w:p>
          <w:p w14:paraId="0E564F6D" w14:textId="77777777" w:rsidR="00FC5C23" w:rsidRPr="00FC5C23" w:rsidRDefault="00FC5C23" w:rsidP="00FC5C23">
            <w:pPr>
              <w:tabs>
                <w:tab w:val="clear" w:pos="708"/>
              </w:tabs>
              <w:suppressAutoHyphens w:val="0"/>
              <w:rPr>
                <w:color w:val="auto"/>
                <w:lang w:val="hr-HR" w:eastAsia="en-US"/>
              </w:rPr>
            </w:pPr>
            <w:r w:rsidRPr="00FC5C23">
              <w:rPr>
                <w:color w:val="auto"/>
                <w:lang w:val="hr-HR" w:eastAsia="en-US"/>
              </w:rPr>
              <w:t>3. Smajić R, Migracije i Bosanski ejalet 1699-1718, Sarajevo 2022.</w:t>
            </w:r>
          </w:p>
          <w:p w14:paraId="7E74B37E" w14:textId="2031BC3A" w:rsidR="00FC5C23" w:rsidRPr="002271E2" w:rsidRDefault="00FC5C23" w:rsidP="00FC5C23">
            <w:pPr>
              <w:tabs>
                <w:tab w:val="clear" w:pos="708"/>
              </w:tabs>
              <w:suppressAutoHyphens w:val="0"/>
              <w:rPr>
                <w:color w:val="auto"/>
                <w:lang w:val="hr-HR" w:eastAsia="en-US"/>
              </w:rPr>
            </w:pPr>
            <w:r w:rsidRPr="00FC5C23">
              <w:rPr>
                <w:color w:val="auto"/>
                <w:lang w:val="hr-HR" w:eastAsia="en-US"/>
              </w:rPr>
              <w:t>4. Sućeska A, Ajani,  Sarajevo 1965.</w:t>
            </w:r>
          </w:p>
        </w:tc>
      </w:tr>
    </w:tbl>
    <w:p w14:paraId="30E817B4" w14:textId="77777777" w:rsidR="00FC5C23" w:rsidRDefault="00FC5C23"/>
    <w:tbl>
      <w:tblPr>
        <w:tblpPr w:leftFromText="180" w:rightFromText="180" w:bottomFromText="160" w:vertAnchor="text" w:horzAnchor="margin" w:tblpX="-318" w:tblpY="541"/>
        <w:tblW w:w="104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708"/>
        <w:gridCol w:w="3390"/>
        <w:gridCol w:w="1480"/>
        <w:gridCol w:w="1911"/>
      </w:tblGrid>
      <w:tr w:rsidR="00FC5C23" w:rsidRPr="00FC5C23" w14:paraId="3829E93E" w14:textId="77777777" w:rsidTr="00514CA1">
        <w:trPr>
          <w:cantSplit/>
          <w:trHeight w:val="268"/>
        </w:trPr>
        <w:tc>
          <w:tcPr>
            <w:tcW w:w="8578" w:type="dxa"/>
            <w:gridSpan w:val="3"/>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E18BFD2" w14:textId="77777777" w:rsidR="00FC5C23" w:rsidRPr="00FC5C23" w:rsidRDefault="00FC5C23" w:rsidP="00FC5C23">
            <w:pPr>
              <w:tabs>
                <w:tab w:val="clear" w:pos="708"/>
              </w:tabs>
              <w:suppressAutoHyphens w:val="0"/>
              <w:jc w:val="both"/>
              <w:rPr>
                <w:color w:val="auto"/>
                <w:lang w:val="hr-HR" w:eastAsia="en-US"/>
              </w:rPr>
            </w:pPr>
            <w:r w:rsidRPr="00FC5C23">
              <w:rPr>
                <w:color w:val="auto"/>
                <w:lang w:val="hr-HR" w:eastAsia="en-US"/>
              </w:rPr>
              <w:t xml:space="preserve">Naziv predmeta: </w:t>
            </w:r>
            <w:r w:rsidRPr="00FC5C23">
              <w:rPr>
                <w:rFonts w:eastAsia="Calibri"/>
                <w:color w:val="auto"/>
                <w:lang w:eastAsia="en-US"/>
              </w:rPr>
              <w:t xml:space="preserve"> </w:t>
            </w:r>
            <w:r w:rsidRPr="00FC5C23">
              <w:rPr>
                <w:b/>
                <w:bCs/>
                <w:color w:val="auto"/>
                <w:lang w:val="hr-HR" w:eastAsia="en-US"/>
              </w:rPr>
              <w:t>Identitet i državnost Bosne i Hercegovine u savremenom dobu (1878-2000)</w:t>
            </w: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683C503" w14:textId="77777777" w:rsidR="00FC5C23" w:rsidRPr="00FC5C23" w:rsidRDefault="00FC5C23" w:rsidP="00FC5C23">
            <w:pPr>
              <w:tabs>
                <w:tab w:val="clear" w:pos="708"/>
              </w:tabs>
              <w:suppressAutoHyphens w:val="0"/>
              <w:jc w:val="center"/>
              <w:rPr>
                <w:color w:val="auto"/>
                <w:lang w:val="hr-HR" w:eastAsia="en-US"/>
              </w:rPr>
            </w:pPr>
            <w:r w:rsidRPr="00FC5C23">
              <w:rPr>
                <w:color w:val="auto"/>
                <w:lang w:val="hr-HR" w:eastAsia="en-US"/>
              </w:rPr>
              <w:t>ECTS</w:t>
            </w:r>
          </w:p>
        </w:tc>
      </w:tr>
      <w:tr w:rsidR="00FC5C23" w:rsidRPr="00FC5C23" w14:paraId="061AA3A7" w14:textId="77777777" w:rsidTr="00514CA1">
        <w:trPr>
          <w:cantSplit/>
          <w:trHeight w:val="268"/>
        </w:trPr>
        <w:tc>
          <w:tcPr>
            <w:tcW w:w="8578" w:type="dxa"/>
            <w:gridSpan w:val="3"/>
            <w:vMerge/>
            <w:tcBorders>
              <w:top w:val="single" w:sz="4" w:space="0" w:color="auto"/>
              <w:left w:val="single" w:sz="4" w:space="0" w:color="auto"/>
              <w:bottom w:val="single" w:sz="4" w:space="0" w:color="auto"/>
              <w:right w:val="single" w:sz="4" w:space="0" w:color="auto"/>
            </w:tcBorders>
            <w:vAlign w:val="center"/>
            <w:hideMark/>
          </w:tcPr>
          <w:p w14:paraId="3AE5D1C1" w14:textId="77777777" w:rsidR="00FC5C23" w:rsidRPr="00FC5C23" w:rsidRDefault="00FC5C23" w:rsidP="00FC5C23">
            <w:pPr>
              <w:tabs>
                <w:tab w:val="clear" w:pos="708"/>
              </w:tabs>
              <w:suppressAutoHyphens w:val="0"/>
              <w:rPr>
                <w:color w:val="auto"/>
                <w:lang w:val="hr-HR" w:eastAsia="en-US"/>
              </w:rPr>
            </w:pPr>
          </w:p>
        </w:tc>
        <w:tc>
          <w:tcPr>
            <w:tcW w:w="191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ACB7FA" w14:textId="77777777" w:rsidR="00FC5C23" w:rsidRPr="00FC5C23" w:rsidRDefault="00FC5C23" w:rsidP="00FC5C23">
            <w:pPr>
              <w:tabs>
                <w:tab w:val="clear" w:pos="708"/>
              </w:tabs>
              <w:suppressAutoHyphens w:val="0"/>
              <w:jc w:val="center"/>
              <w:rPr>
                <w:color w:val="auto"/>
                <w:lang w:val="hr-HR" w:eastAsia="en-US"/>
              </w:rPr>
            </w:pPr>
            <w:r w:rsidRPr="00FC5C23">
              <w:rPr>
                <w:color w:val="auto"/>
                <w:lang w:val="hr-HR" w:eastAsia="en-US"/>
              </w:rPr>
              <w:t>6</w:t>
            </w:r>
          </w:p>
        </w:tc>
      </w:tr>
      <w:tr w:rsidR="00FC5C23" w:rsidRPr="00FC5C23" w14:paraId="227057F4" w14:textId="77777777" w:rsidTr="00514CA1">
        <w:trPr>
          <w:trHeight w:val="268"/>
        </w:trPr>
        <w:tc>
          <w:tcPr>
            <w:tcW w:w="10489" w:type="dxa"/>
            <w:gridSpan w:val="4"/>
            <w:tcBorders>
              <w:top w:val="single" w:sz="4" w:space="0" w:color="auto"/>
              <w:left w:val="single" w:sz="4" w:space="0" w:color="auto"/>
              <w:bottom w:val="single" w:sz="4" w:space="0" w:color="auto"/>
              <w:right w:val="single" w:sz="4" w:space="0" w:color="auto"/>
            </w:tcBorders>
            <w:vAlign w:val="center"/>
            <w:hideMark/>
          </w:tcPr>
          <w:p w14:paraId="4704E920" w14:textId="77777777" w:rsidR="00FC5C23" w:rsidRPr="00FC5C23" w:rsidRDefault="00FC5C23" w:rsidP="00FC5C23">
            <w:pPr>
              <w:tabs>
                <w:tab w:val="clear" w:pos="708"/>
              </w:tabs>
              <w:suppressAutoHyphens w:val="0"/>
              <w:jc w:val="center"/>
              <w:rPr>
                <w:color w:val="auto"/>
                <w:lang w:val="en-US" w:eastAsia="en-US"/>
              </w:rPr>
            </w:pPr>
            <w:r w:rsidRPr="00FC5C23">
              <w:rPr>
                <w:color w:val="auto"/>
                <w:lang w:val="hr-HR" w:eastAsia="en-US"/>
              </w:rPr>
              <w:t xml:space="preserve">Ukupan broj sati u semestru:  </w:t>
            </w:r>
          </w:p>
        </w:tc>
      </w:tr>
      <w:tr w:rsidR="00FC5C23" w:rsidRPr="00FC5C23" w14:paraId="476E6945" w14:textId="77777777" w:rsidTr="00514CA1">
        <w:trPr>
          <w:trHeight w:val="268"/>
        </w:trPr>
        <w:tc>
          <w:tcPr>
            <w:tcW w:w="3708" w:type="dxa"/>
            <w:tcBorders>
              <w:top w:val="single" w:sz="4" w:space="0" w:color="auto"/>
              <w:left w:val="single" w:sz="4" w:space="0" w:color="auto"/>
              <w:bottom w:val="single" w:sz="4" w:space="0" w:color="auto"/>
              <w:right w:val="single" w:sz="4" w:space="0" w:color="auto"/>
            </w:tcBorders>
            <w:hideMark/>
          </w:tcPr>
          <w:p w14:paraId="4AEAF1A0" w14:textId="77777777" w:rsidR="00FC5C23" w:rsidRPr="00FC5C23" w:rsidRDefault="00FC5C23" w:rsidP="00FC5C23">
            <w:pPr>
              <w:tabs>
                <w:tab w:val="clear" w:pos="708"/>
              </w:tabs>
              <w:suppressAutoHyphens w:val="0"/>
              <w:jc w:val="center"/>
              <w:rPr>
                <w:color w:val="auto"/>
                <w:lang w:val="hr-HR" w:eastAsia="en-US"/>
              </w:rPr>
            </w:pPr>
            <w:r w:rsidRPr="00FC5C23">
              <w:rPr>
                <w:color w:val="auto"/>
                <w:lang w:val="hr-HR" w:eastAsia="en-US"/>
              </w:rPr>
              <w:t>Semestar: I</w:t>
            </w:r>
          </w:p>
        </w:tc>
        <w:tc>
          <w:tcPr>
            <w:tcW w:w="3390" w:type="dxa"/>
            <w:tcBorders>
              <w:top w:val="single" w:sz="4" w:space="0" w:color="auto"/>
              <w:left w:val="single" w:sz="4" w:space="0" w:color="auto"/>
              <w:bottom w:val="single" w:sz="4" w:space="0" w:color="auto"/>
              <w:right w:val="single" w:sz="4" w:space="0" w:color="auto"/>
            </w:tcBorders>
            <w:hideMark/>
          </w:tcPr>
          <w:p w14:paraId="324453A1" w14:textId="2947C1A2" w:rsidR="00FC5C23" w:rsidRPr="00FC5C23" w:rsidRDefault="00FC5C23" w:rsidP="00FC5C23">
            <w:pPr>
              <w:tabs>
                <w:tab w:val="clear" w:pos="708"/>
              </w:tabs>
              <w:suppressAutoHyphens w:val="0"/>
              <w:jc w:val="center"/>
              <w:rPr>
                <w:color w:val="auto"/>
                <w:lang w:val="hr-HR" w:eastAsia="en-US"/>
              </w:rPr>
            </w:pPr>
            <w:r w:rsidRPr="00FC5C23">
              <w:rPr>
                <w:color w:val="auto"/>
                <w:lang w:val="hr-HR" w:eastAsia="en-US"/>
              </w:rPr>
              <w:t xml:space="preserve">Predavanja: </w:t>
            </w:r>
            <w:r w:rsidR="00121698">
              <w:rPr>
                <w:color w:val="auto"/>
                <w:lang w:val="hr-HR" w:eastAsia="en-US"/>
              </w:rPr>
              <w:t>45</w:t>
            </w:r>
          </w:p>
        </w:tc>
        <w:tc>
          <w:tcPr>
            <w:tcW w:w="3391" w:type="dxa"/>
            <w:gridSpan w:val="2"/>
            <w:tcBorders>
              <w:top w:val="single" w:sz="4" w:space="0" w:color="auto"/>
              <w:left w:val="single" w:sz="4" w:space="0" w:color="auto"/>
              <w:bottom w:val="single" w:sz="4" w:space="0" w:color="auto"/>
              <w:right w:val="single" w:sz="4" w:space="0" w:color="auto"/>
            </w:tcBorders>
            <w:hideMark/>
          </w:tcPr>
          <w:p w14:paraId="02490C6D" w14:textId="40DC31A1" w:rsidR="00FC5C23" w:rsidRPr="00FC5C23" w:rsidRDefault="00FC5C23" w:rsidP="00FC5C23">
            <w:pPr>
              <w:tabs>
                <w:tab w:val="clear" w:pos="708"/>
              </w:tabs>
              <w:suppressAutoHyphens w:val="0"/>
              <w:jc w:val="center"/>
              <w:rPr>
                <w:color w:val="auto"/>
                <w:lang w:val="hr-HR" w:eastAsia="en-US"/>
              </w:rPr>
            </w:pPr>
            <w:r w:rsidRPr="00FC5C23">
              <w:rPr>
                <w:color w:val="auto"/>
                <w:lang w:val="hr-HR" w:eastAsia="en-US"/>
              </w:rPr>
              <w:t>Vježbe (A+L) : 1</w:t>
            </w:r>
            <w:r w:rsidR="00121698">
              <w:rPr>
                <w:color w:val="auto"/>
                <w:lang w:val="hr-HR" w:eastAsia="en-US"/>
              </w:rPr>
              <w:t>5</w:t>
            </w:r>
          </w:p>
        </w:tc>
      </w:tr>
      <w:tr w:rsidR="00FC5C23" w:rsidRPr="00FC5C23" w14:paraId="19BF7067" w14:textId="77777777" w:rsidTr="00514CA1">
        <w:trPr>
          <w:trHeight w:val="268"/>
        </w:trPr>
        <w:tc>
          <w:tcPr>
            <w:tcW w:w="10489" w:type="dxa"/>
            <w:gridSpan w:val="4"/>
            <w:tcBorders>
              <w:top w:val="single" w:sz="4" w:space="0" w:color="auto"/>
              <w:left w:val="single" w:sz="4" w:space="0" w:color="auto"/>
              <w:bottom w:val="single" w:sz="4" w:space="0" w:color="auto"/>
              <w:right w:val="single" w:sz="4" w:space="0" w:color="auto"/>
            </w:tcBorders>
            <w:hideMark/>
          </w:tcPr>
          <w:p w14:paraId="71C95455"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Cilj kolegija:</w:t>
            </w:r>
          </w:p>
          <w:p w14:paraId="53B530AC" w14:textId="77777777" w:rsidR="00FC5C23" w:rsidRPr="00FC5C23" w:rsidRDefault="00FC5C23" w:rsidP="00FC5C23">
            <w:pPr>
              <w:numPr>
                <w:ilvl w:val="0"/>
                <w:numId w:val="6"/>
              </w:numPr>
              <w:tabs>
                <w:tab w:val="clear" w:pos="708"/>
              </w:tabs>
              <w:suppressAutoHyphens w:val="0"/>
              <w:spacing w:after="160" w:line="259" w:lineRule="auto"/>
              <w:contextualSpacing/>
              <w:rPr>
                <w:bCs/>
                <w:color w:val="auto"/>
                <w:lang w:val="hr-HR" w:eastAsia="en-US"/>
              </w:rPr>
            </w:pPr>
            <w:r w:rsidRPr="00FC5C23">
              <w:rPr>
                <w:bCs/>
                <w:color w:val="auto"/>
                <w:lang w:val="hr-HR" w:eastAsia="en-US"/>
              </w:rPr>
              <w:t>Osposobiti studente da razumiju realitete i tokove afirmacije bosanskohercegovačkog identiteta i državnosti u</w:t>
            </w:r>
          </w:p>
          <w:p w14:paraId="6919109F" w14:textId="77777777" w:rsidR="00FC5C23" w:rsidRPr="00FC5C23" w:rsidRDefault="00FC5C23" w:rsidP="00FC5C23">
            <w:pPr>
              <w:numPr>
                <w:ilvl w:val="0"/>
                <w:numId w:val="6"/>
              </w:numPr>
              <w:tabs>
                <w:tab w:val="clear" w:pos="708"/>
              </w:tabs>
              <w:suppressAutoHyphens w:val="0"/>
              <w:spacing w:after="160" w:line="259" w:lineRule="auto"/>
              <w:contextualSpacing/>
              <w:rPr>
                <w:bCs/>
                <w:color w:val="auto"/>
                <w:lang w:val="hr-HR" w:eastAsia="en-US"/>
              </w:rPr>
            </w:pPr>
            <w:r w:rsidRPr="00FC5C23">
              <w:rPr>
                <w:bCs/>
                <w:color w:val="auto"/>
                <w:lang w:val="hr-HR" w:eastAsia="en-US"/>
              </w:rPr>
              <w:t>savremenom dobu, od dolaska Austro-Ugarske monarhije u Bosnu i Hercegovinu 1878. godine do sprovedbe</w:t>
            </w:r>
          </w:p>
          <w:p w14:paraId="019F9150" w14:textId="77777777" w:rsidR="00FC5C23" w:rsidRPr="00FC5C23" w:rsidRDefault="00FC5C23" w:rsidP="00FC5C23">
            <w:pPr>
              <w:numPr>
                <w:ilvl w:val="0"/>
                <w:numId w:val="6"/>
              </w:numPr>
              <w:tabs>
                <w:tab w:val="clear" w:pos="708"/>
              </w:tabs>
              <w:suppressAutoHyphens w:val="0"/>
              <w:spacing w:after="160" w:line="259" w:lineRule="auto"/>
              <w:contextualSpacing/>
              <w:rPr>
                <w:bCs/>
                <w:color w:val="auto"/>
                <w:lang w:val="hr-HR" w:eastAsia="en-US"/>
              </w:rPr>
            </w:pPr>
            <w:r w:rsidRPr="00FC5C23">
              <w:rPr>
                <w:bCs/>
                <w:color w:val="auto"/>
                <w:lang w:val="hr-HR" w:eastAsia="en-US"/>
              </w:rPr>
              <w:t>Daytonskom mirovnog sporazuma nakon 1995. godine. U tom kontekstu, omogućiti studentima da prepoznaju</w:t>
            </w:r>
          </w:p>
          <w:p w14:paraId="61964C9A" w14:textId="77777777" w:rsidR="00FC5C23" w:rsidRPr="00FC5C23" w:rsidRDefault="00FC5C23" w:rsidP="00FC5C23">
            <w:pPr>
              <w:numPr>
                <w:ilvl w:val="0"/>
                <w:numId w:val="6"/>
              </w:numPr>
              <w:tabs>
                <w:tab w:val="clear" w:pos="708"/>
              </w:tabs>
              <w:suppressAutoHyphens w:val="0"/>
              <w:spacing w:after="160" w:line="259" w:lineRule="auto"/>
              <w:contextualSpacing/>
              <w:rPr>
                <w:bCs/>
                <w:color w:val="auto"/>
                <w:lang w:val="hr-HR" w:eastAsia="en-US"/>
              </w:rPr>
            </w:pPr>
            <w:r w:rsidRPr="00FC5C23">
              <w:rPr>
                <w:bCs/>
                <w:color w:val="auto"/>
                <w:lang w:val="hr-HR" w:eastAsia="en-US"/>
              </w:rPr>
              <w:t>kontekst, povode i uzroke političko-društvenih, ustavno-pravnih i socio-ekonomskih kretanja i promjena u Bosni i</w:t>
            </w:r>
          </w:p>
          <w:p w14:paraId="5E05A608" w14:textId="77777777" w:rsidR="00FC5C23" w:rsidRPr="00FC5C23" w:rsidRDefault="00FC5C23" w:rsidP="00FC5C23">
            <w:pPr>
              <w:numPr>
                <w:ilvl w:val="0"/>
                <w:numId w:val="6"/>
              </w:numPr>
              <w:tabs>
                <w:tab w:val="clear" w:pos="708"/>
              </w:tabs>
              <w:suppressAutoHyphens w:val="0"/>
              <w:spacing w:after="160" w:line="259" w:lineRule="auto"/>
              <w:contextualSpacing/>
              <w:rPr>
                <w:bCs/>
                <w:color w:val="auto"/>
                <w:lang w:val="hr-HR" w:eastAsia="en-US"/>
              </w:rPr>
            </w:pPr>
            <w:r w:rsidRPr="00FC5C23">
              <w:rPr>
                <w:bCs/>
                <w:color w:val="auto"/>
                <w:lang w:val="hr-HR" w:eastAsia="en-US"/>
              </w:rPr>
              <w:t>Hercegovini nakon 1878. godine, kao i da razumiju uticaj novih državno-pravnih realiteta na savremeni političko-pravni i nacionalno-politički razvoj Bosne i Hercegovine</w:t>
            </w:r>
          </w:p>
        </w:tc>
      </w:tr>
      <w:tr w:rsidR="00FC5C23" w:rsidRPr="00FC5C23" w14:paraId="29B7B26D" w14:textId="77777777" w:rsidTr="00514CA1">
        <w:trPr>
          <w:trHeight w:val="268"/>
        </w:trPr>
        <w:tc>
          <w:tcPr>
            <w:tcW w:w="10489" w:type="dxa"/>
            <w:gridSpan w:val="4"/>
            <w:tcBorders>
              <w:top w:val="single" w:sz="4" w:space="0" w:color="auto"/>
              <w:left w:val="single" w:sz="4" w:space="0" w:color="auto"/>
              <w:bottom w:val="single" w:sz="4" w:space="0" w:color="auto"/>
              <w:right w:val="single" w:sz="4" w:space="0" w:color="auto"/>
            </w:tcBorders>
          </w:tcPr>
          <w:p w14:paraId="1B07E922"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Sadržaj / struktura predmeta:</w:t>
            </w:r>
          </w:p>
          <w:p w14:paraId="19877F11"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xml:space="preserve">1. Bosna i Hercegovina na Berlinskom kongresu. Član XXV </w:t>
            </w:r>
          </w:p>
          <w:p w14:paraId="7E226E1D"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xml:space="preserve">2. Carigradska konvencija od 21. 4. 1879. </w:t>
            </w:r>
          </w:p>
          <w:p w14:paraId="09E73E8E"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3. Međunarodnopravni položaj Bosne i Hercegovine za vrijeme austrougarske vladine.</w:t>
            </w:r>
          </w:p>
          <w:p w14:paraId="07579658"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4. Bosna i Hercegovina kao corpus separatum unutar Dvojne monarhije.</w:t>
            </w:r>
          </w:p>
          <w:p w14:paraId="462F6FC1"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5. Koncepcije o državno-pravnom položaju Bosne i Hercegovine uoči i tokom Prvog svjetskog rata.</w:t>
            </w:r>
          </w:p>
          <w:p w14:paraId="24DF2B63"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6. Položaj Bosne i Hercegovine u Kraljevini Srba, Hrvata i Slovenaca.</w:t>
            </w:r>
          </w:p>
          <w:p w14:paraId="20903A80"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xml:space="preserve">7. Bosna i Hercegovina u doba vlade Stojadinović – Korošec – Spaho. </w:t>
            </w:r>
          </w:p>
          <w:p w14:paraId="5821098E"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8. Hrvatsko pitanje u Kraljevini Jugoslaviji i Bosna.</w:t>
            </w:r>
          </w:p>
          <w:p w14:paraId="06786A40"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xml:space="preserve">9. Zasjedanja ZAVNOBIH-a. Formiranje nove vlasti. </w:t>
            </w:r>
          </w:p>
          <w:p w14:paraId="5490CEAC"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xml:space="preserve">10. Erozija ustaškog sistema. Nastanak avnojevske Jugoslavije. </w:t>
            </w:r>
          </w:p>
          <w:p w14:paraId="525589E1"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11. Obnova državnosti Bosne i Hercegovine.</w:t>
            </w:r>
          </w:p>
          <w:p w14:paraId="36975E12"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12. Politički, ustavno-pravni i ekonomski razvoj Bosne i Hercegovine u socijalističkoj Jugoslaviji.</w:t>
            </w:r>
          </w:p>
          <w:p w14:paraId="6800B081"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xml:space="preserve">13. Bosna i Hercegovina u procesima disolucije SFRJ. Višestranački izbori u Bosni i Hercegovini 1990. </w:t>
            </w:r>
          </w:p>
          <w:p w14:paraId="7D802824"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14. Rad Predsjedništva i Skupštine SR BIH 1990-1992. Referendum za nezavisnost.</w:t>
            </w:r>
          </w:p>
          <w:p w14:paraId="39A5D3B6" w14:textId="3890E0C5"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lastRenderedPageBreak/>
              <w:t>15. Daytonski ugovor i savremena afirmacija Bosne i Hercegovine</w:t>
            </w:r>
          </w:p>
        </w:tc>
      </w:tr>
      <w:tr w:rsidR="00FC5C23" w:rsidRPr="00FC5C23" w14:paraId="2A74AED4" w14:textId="77777777" w:rsidTr="00514CA1">
        <w:trPr>
          <w:trHeight w:val="268"/>
        </w:trPr>
        <w:tc>
          <w:tcPr>
            <w:tcW w:w="10489" w:type="dxa"/>
            <w:gridSpan w:val="4"/>
            <w:tcBorders>
              <w:top w:val="single" w:sz="4" w:space="0" w:color="auto"/>
              <w:left w:val="single" w:sz="4" w:space="0" w:color="auto"/>
              <w:bottom w:val="single" w:sz="4" w:space="0" w:color="auto"/>
              <w:right w:val="single" w:sz="4" w:space="0" w:color="auto"/>
            </w:tcBorders>
          </w:tcPr>
          <w:p w14:paraId="1EDE76EC"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lastRenderedPageBreak/>
              <w:t>Osnovna literatura:</w:t>
            </w:r>
          </w:p>
          <w:p w14:paraId="5784F6ED"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Socijalistička republika BiH [separat iz II izdanja Enciklopedije Jugoslavije], Zagreb, 1983.</w:t>
            </w:r>
          </w:p>
          <w:p w14:paraId="2301CEF8"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T. Kraljačić, Kalajev režim u Bosni i Hercegovini, Sarajevo, 1987.</w:t>
            </w:r>
          </w:p>
          <w:p w14:paraId="176DD703"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N. Šehić, BiH 1918-1925, Sarajevo, 1991.</w:t>
            </w:r>
          </w:p>
          <w:p w14:paraId="6BDE5C8A"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E. Redžić, Bosna i Hercegovina u Drugom svjetskom ratu, Sarajevo, 1998.</w:t>
            </w:r>
          </w:p>
          <w:p w14:paraId="4C90FACA"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H. Kamberović, Hod po trnju. Iz bosanskohercegovačke historije 20. stoljeća, Sarajevo, 2011.</w:t>
            </w:r>
          </w:p>
          <w:p w14:paraId="70F1FD82"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M. D. Abazović, Kadrovski rat za BiH (1945–1991), Sarajevo, 1999.</w:t>
            </w:r>
          </w:p>
          <w:p w14:paraId="0E97542C"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M. Imamović, Historija države i prava Bosne i Hercegovine, Sarajevo, 2003.</w:t>
            </w:r>
          </w:p>
          <w:p w14:paraId="5E84DDD8"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M. A. Hoare, The History of Bosnia from the Middle Ages to the Present Day, London, 2007.</w:t>
            </w:r>
          </w:p>
          <w:p w14:paraId="2A3F9AB6" w14:textId="7777777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Identitet Bosne i Hercegovine kroz stoljeća, I i II, Institut za historiju, Sarajevo, 2011.</w:t>
            </w:r>
          </w:p>
          <w:p w14:paraId="77704E31" w14:textId="651EF987" w:rsidR="00FC5C23" w:rsidRPr="00FC5C23" w:rsidRDefault="00FC5C23" w:rsidP="00FC5C23">
            <w:pPr>
              <w:tabs>
                <w:tab w:val="clear" w:pos="708"/>
              </w:tabs>
              <w:suppressAutoHyphens w:val="0"/>
              <w:rPr>
                <w:bCs/>
                <w:color w:val="auto"/>
                <w:lang w:val="hr-HR" w:eastAsia="en-US"/>
              </w:rPr>
            </w:pPr>
            <w:r w:rsidRPr="00FC5C23">
              <w:rPr>
                <w:bCs/>
                <w:color w:val="auto"/>
                <w:lang w:val="hr-HR" w:eastAsia="en-US"/>
              </w:rPr>
              <w:t>- Prijelomne godine bosanskohercegovačke prošlosti, I i II, Institut za historiju, Sarajevo, 2021.</w:t>
            </w:r>
          </w:p>
        </w:tc>
      </w:tr>
    </w:tbl>
    <w:p w14:paraId="6D61E25E" w14:textId="77777777" w:rsidR="00FC5C23" w:rsidRDefault="00FC5C23"/>
    <w:p w14:paraId="778C4289" w14:textId="77777777" w:rsidR="00280DCA" w:rsidRPr="00EF27F0" w:rsidRDefault="00280DCA" w:rsidP="005D26B9">
      <w:pPr>
        <w:rPr>
          <w:b/>
        </w:rPr>
      </w:pPr>
    </w:p>
    <w:p w14:paraId="5AE1874A" w14:textId="77777777" w:rsidR="00280DCA" w:rsidRPr="00EF27F0" w:rsidRDefault="00280DCA" w:rsidP="00762CEB">
      <w:pPr>
        <w:pStyle w:val="NoSpacing"/>
        <w:numPr>
          <w:ilvl w:val="1"/>
          <w:numId w:val="1"/>
        </w:numPr>
        <w:spacing w:line="360" w:lineRule="auto"/>
        <w:jc w:val="both"/>
        <w:rPr>
          <w:rFonts w:ascii="Cambria" w:hAnsi="Cambria"/>
          <w:b/>
          <w:sz w:val="24"/>
          <w:szCs w:val="24"/>
        </w:rPr>
      </w:pPr>
      <w:r w:rsidRPr="00EF27F0">
        <w:rPr>
          <w:rFonts w:ascii="Cambria" w:hAnsi="Cambria"/>
          <w:b/>
          <w:sz w:val="24"/>
          <w:szCs w:val="24"/>
        </w:rPr>
        <w:t xml:space="preserve"> </w:t>
      </w:r>
      <w:proofErr w:type="spellStart"/>
      <w:r w:rsidRPr="00EF27F0">
        <w:rPr>
          <w:rFonts w:ascii="Cambria" w:hAnsi="Cambria"/>
          <w:b/>
          <w:sz w:val="24"/>
          <w:szCs w:val="24"/>
        </w:rPr>
        <w:t>Cilj</w:t>
      </w:r>
      <w:proofErr w:type="spellEnd"/>
      <w:r w:rsidRPr="00EF27F0">
        <w:rPr>
          <w:rFonts w:ascii="Cambria" w:hAnsi="Cambria"/>
          <w:b/>
          <w:sz w:val="24"/>
          <w:szCs w:val="24"/>
        </w:rPr>
        <w:t xml:space="preserve"> </w:t>
      </w:r>
      <w:proofErr w:type="spellStart"/>
      <w:r w:rsidRPr="00EF27F0">
        <w:rPr>
          <w:rFonts w:ascii="Cambria" w:hAnsi="Cambria"/>
          <w:b/>
          <w:sz w:val="24"/>
          <w:szCs w:val="24"/>
        </w:rPr>
        <w:t>studijskog</w:t>
      </w:r>
      <w:proofErr w:type="spellEnd"/>
      <w:r w:rsidRPr="00EF27F0">
        <w:rPr>
          <w:rFonts w:ascii="Cambria" w:hAnsi="Cambria"/>
          <w:b/>
          <w:sz w:val="24"/>
          <w:szCs w:val="24"/>
        </w:rPr>
        <w:t xml:space="preserve"> </w:t>
      </w:r>
      <w:proofErr w:type="spellStart"/>
      <w:r w:rsidRPr="00EF27F0">
        <w:rPr>
          <w:rFonts w:ascii="Cambria" w:hAnsi="Cambria"/>
          <w:b/>
          <w:sz w:val="24"/>
          <w:szCs w:val="24"/>
        </w:rPr>
        <w:t>programa</w:t>
      </w:r>
      <w:proofErr w:type="spellEnd"/>
    </w:p>
    <w:p w14:paraId="0A91038E" w14:textId="4E3DCB03" w:rsidR="00280DCA" w:rsidRPr="00EF27F0" w:rsidRDefault="00280DCA" w:rsidP="005F68F5">
      <w:pPr>
        <w:widowControl w:val="0"/>
        <w:spacing w:line="360" w:lineRule="auto"/>
        <w:jc w:val="both"/>
        <w:rPr>
          <w:rFonts w:eastAsia="Courier New"/>
          <w:lang w:val="hr-HR" w:eastAsia="hr-HR" w:bidi="hr-HR"/>
        </w:rPr>
      </w:pPr>
      <w:r w:rsidRPr="00EF27F0">
        <w:rPr>
          <w:rFonts w:eastAsia="Courier New"/>
          <w:lang w:val="hr-HR" w:eastAsia="hr-HR" w:bidi="hr-HR"/>
        </w:rPr>
        <w:t xml:space="preserve">Temeljni cilj ovog studijskog programa je sticanje istraživačkih i stručnih kompetencija za samostalan rad </w:t>
      </w:r>
      <w:r w:rsidR="009705FC" w:rsidRPr="00EF27F0">
        <w:rPr>
          <w:rFonts w:eastAsia="Courier New"/>
          <w:lang w:val="hr-HR" w:eastAsia="hr-HR" w:bidi="hr-HR"/>
        </w:rPr>
        <w:t>historičara</w:t>
      </w:r>
      <w:r w:rsidR="005F68F5" w:rsidRPr="00EF27F0">
        <w:rPr>
          <w:rFonts w:eastAsia="Courier New"/>
          <w:lang w:val="hr-HR" w:eastAsia="hr-HR" w:bidi="hr-HR"/>
        </w:rPr>
        <w:t>.</w:t>
      </w:r>
    </w:p>
    <w:p w14:paraId="73B8E7EB" w14:textId="77777777" w:rsidR="005F68F5" w:rsidRPr="00EF27F0" w:rsidRDefault="005F68F5" w:rsidP="005F68F5">
      <w:pPr>
        <w:widowControl w:val="0"/>
        <w:spacing w:line="360" w:lineRule="auto"/>
        <w:jc w:val="both"/>
        <w:rPr>
          <w:rFonts w:eastAsia="Courier New"/>
          <w:lang w:val="hr-HR" w:eastAsia="hr-HR" w:bidi="hr-HR"/>
        </w:rPr>
      </w:pPr>
      <w:r w:rsidRPr="00EF27F0">
        <w:rPr>
          <w:rFonts w:eastAsia="Courier New"/>
          <w:lang w:val="hr-HR" w:eastAsia="hr-HR" w:bidi="hr-HR"/>
        </w:rPr>
        <w:t xml:space="preserve">Cilj ovog studija je da obrazuje i osposobi historičare za one oblasti savremenog društva gdje postoje realne potrebe za njihovim radom i doprinosom, kako za daljnji razvitak Bosne i Hercegovine tako i za prosperitet međunarodne zajednice i savremenog svijeta u cjelini. Ovim studijem omogućit će se školovanje značajnog broja visokoobrazovanog kadra za potrebe: </w:t>
      </w:r>
    </w:p>
    <w:p w14:paraId="3D5DDFD2" w14:textId="77777777" w:rsidR="005F68F5" w:rsidRPr="00EF27F0" w:rsidRDefault="005F68F5" w:rsidP="005F68F5">
      <w:pPr>
        <w:pStyle w:val="ListParagraph"/>
        <w:widowControl w:val="0"/>
        <w:numPr>
          <w:ilvl w:val="0"/>
          <w:numId w:val="9"/>
        </w:numPr>
        <w:spacing w:line="360" w:lineRule="auto"/>
        <w:jc w:val="both"/>
        <w:rPr>
          <w:rFonts w:eastAsia="Courier New"/>
          <w:lang w:val="hr-HR" w:eastAsia="hr-HR" w:bidi="hr-HR"/>
        </w:rPr>
      </w:pPr>
      <w:r w:rsidRPr="00EF27F0">
        <w:rPr>
          <w:rFonts w:eastAsia="Courier New"/>
          <w:lang w:val="hr-HR" w:eastAsia="hr-HR" w:bidi="hr-HR"/>
        </w:rPr>
        <w:t xml:space="preserve">nastave historije u Bosni i Hercegovini; </w:t>
      </w:r>
    </w:p>
    <w:p w14:paraId="540CDB87" w14:textId="77777777" w:rsidR="005F68F5" w:rsidRPr="00EF27F0" w:rsidRDefault="005F68F5" w:rsidP="005F68F5">
      <w:pPr>
        <w:pStyle w:val="ListParagraph"/>
        <w:widowControl w:val="0"/>
        <w:numPr>
          <w:ilvl w:val="0"/>
          <w:numId w:val="9"/>
        </w:numPr>
        <w:spacing w:line="360" w:lineRule="auto"/>
        <w:jc w:val="both"/>
        <w:rPr>
          <w:rFonts w:eastAsia="Courier New"/>
          <w:lang w:val="hr-HR" w:eastAsia="hr-HR" w:bidi="hr-HR"/>
        </w:rPr>
      </w:pPr>
      <w:r w:rsidRPr="00EF27F0">
        <w:rPr>
          <w:rFonts w:eastAsia="Courier New"/>
          <w:lang w:val="hr-HR" w:eastAsia="hr-HR" w:bidi="hr-HR"/>
        </w:rPr>
        <w:t xml:space="preserve">naučnog razvoja na polju historiografije; </w:t>
      </w:r>
    </w:p>
    <w:p w14:paraId="434D601B" w14:textId="77777777" w:rsidR="005F68F5" w:rsidRPr="00EF27F0" w:rsidRDefault="005F68F5" w:rsidP="005F68F5">
      <w:pPr>
        <w:pStyle w:val="ListParagraph"/>
        <w:widowControl w:val="0"/>
        <w:numPr>
          <w:ilvl w:val="0"/>
          <w:numId w:val="9"/>
        </w:numPr>
        <w:spacing w:line="360" w:lineRule="auto"/>
        <w:jc w:val="both"/>
        <w:rPr>
          <w:rFonts w:eastAsia="Courier New"/>
          <w:lang w:val="hr-HR" w:eastAsia="hr-HR" w:bidi="hr-HR"/>
        </w:rPr>
      </w:pPr>
      <w:r w:rsidRPr="00EF27F0">
        <w:rPr>
          <w:rFonts w:eastAsia="Courier New"/>
          <w:lang w:val="hr-HR" w:eastAsia="hr-HR" w:bidi="hr-HR"/>
        </w:rPr>
        <w:t xml:space="preserve">rada na polju javne, kulturne i administrativne djelatnosti. </w:t>
      </w:r>
    </w:p>
    <w:p w14:paraId="216B8498" w14:textId="0C4EBA4A" w:rsidR="005F68F5" w:rsidRPr="00EF27F0" w:rsidRDefault="005F68F5" w:rsidP="005F68F5">
      <w:pPr>
        <w:widowControl w:val="0"/>
        <w:spacing w:line="360" w:lineRule="auto"/>
        <w:jc w:val="both"/>
        <w:rPr>
          <w:rFonts w:eastAsia="Courier New"/>
          <w:lang w:val="hr-HR" w:eastAsia="hr-HR" w:bidi="hr-HR"/>
        </w:rPr>
      </w:pPr>
      <w:r w:rsidRPr="00EF27F0">
        <w:rPr>
          <w:rFonts w:eastAsia="Courier New"/>
          <w:lang w:val="hr-HR" w:eastAsia="hr-HR" w:bidi="hr-HR"/>
        </w:rPr>
        <w:t xml:space="preserve">Dio magistara historije zasigurno će pronaći radno mjesto i u privatnom sektoru, naročito u novinarstvu, izdavaštvu, turizmu, kao i na poslovima kuturnog menadžmenta. Istovremeno, snažnije će povezati historičare u Bosni i Hercegovini i svijetu. Osim toga, dolaze u poziciju za uspostavljanje veza i s brojnim drugim sličnim profiima.   </w:t>
      </w:r>
    </w:p>
    <w:p w14:paraId="33A20B7B" w14:textId="58836C1D" w:rsidR="005F68F5" w:rsidRPr="00EF27F0" w:rsidRDefault="005F68F5" w:rsidP="005F68F5">
      <w:pPr>
        <w:widowControl w:val="0"/>
        <w:spacing w:before="100" w:beforeAutospacing="1" w:line="360" w:lineRule="auto"/>
        <w:jc w:val="both"/>
        <w:rPr>
          <w:rFonts w:eastAsia="Courier New"/>
          <w:lang w:val="hr-HR" w:eastAsia="hr-HR" w:bidi="hr-HR"/>
        </w:rPr>
      </w:pPr>
      <w:r w:rsidRPr="00EF27F0">
        <w:rPr>
          <w:rFonts w:eastAsia="Courier New"/>
          <w:lang w:val="hr-HR" w:eastAsia="hr-HR" w:bidi="hr-HR"/>
        </w:rPr>
        <w:t>Master studij historije – II ciklus, usaglašen je sa Kantonalnim Zakonom o visokom obrazovanju, Bolonjskom deklaracijom i ostalim zakonskim aktima vezanim za nauku i visoko obrazovanje.</w:t>
      </w:r>
    </w:p>
    <w:p w14:paraId="44D784A1" w14:textId="77777777" w:rsidR="005F68F5" w:rsidRPr="00EF27F0" w:rsidRDefault="005F68F5" w:rsidP="005F68F5">
      <w:pPr>
        <w:widowControl w:val="0"/>
        <w:spacing w:before="100" w:beforeAutospacing="1" w:line="360" w:lineRule="auto"/>
        <w:jc w:val="both"/>
        <w:rPr>
          <w:rFonts w:eastAsia="Courier New"/>
          <w:lang w:val="hr-HR" w:eastAsia="hr-HR" w:bidi="hr-HR"/>
        </w:rPr>
      </w:pPr>
    </w:p>
    <w:p w14:paraId="7842198D" w14:textId="681840CD" w:rsidR="00280DCA" w:rsidRPr="00EF27F0" w:rsidRDefault="00EF27F0" w:rsidP="00762CEB">
      <w:pPr>
        <w:pStyle w:val="NoSpacing"/>
        <w:numPr>
          <w:ilvl w:val="1"/>
          <w:numId w:val="2"/>
        </w:numPr>
        <w:spacing w:line="360" w:lineRule="auto"/>
        <w:jc w:val="both"/>
        <w:rPr>
          <w:rFonts w:ascii="Cambria" w:hAnsi="Cambria"/>
          <w:lang w:val="pl-PL"/>
        </w:rPr>
      </w:pPr>
      <w:r>
        <w:rPr>
          <w:rFonts w:ascii="Cambria" w:hAnsi="Cambria"/>
          <w:b/>
          <w:sz w:val="24"/>
          <w:szCs w:val="24"/>
          <w:lang w:val="pl-PL"/>
        </w:rPr>
        <w:t xml:space="preserve"> </w:t>
      </w:r>
      <w:r w:rsidR="00280DCA" w:rsidRPr="00EF27F0">
        <w:rPr>
          <w:rFonts w:ascii="Cambria" w:hAnsi="Cambria"/>
          <w:b/>
          <w:sz w:val="24"/>
          <w:szCs w:val="24"/>
          <w:lang w:val="pl-PL"/>
        </w:rPr>
        <w:t>Kompetencije i vje</w:t>
      </w:r>
      <w:r w:rsidR="00280DCA" w:rsidRPr="00EF27F0">
        <w:rPr>
          <w:rFonts w:ascii="Cambria" w:hAnsi="Cambria"/>
          <w:b/>
          <w:sz w:val="24"/>
          <w:szCs w:val="24"/>
          <w:lang w:val="hr-BA"/>
        </w:rPr>
        <w:t>š</w:t>
      </w:r>
      <w:r w:rsidR="00280DCA" w:rsidRPr="00EF27F0">
        <w:rPr>
          <w:rFonts w:ascii="Cambria" w:hAnsi="Cambria"/>
          <w:b/>
          <w:sz w:val="24"/>
          <w:szCs w:val="24"/>
          <w:lang w:val="pl-PL"/>
        </w:rPr>
        <w:t>tine koje se stiču završetkom II ciklusa studija</w:t>
      </w:r>
    </w:p>
    <w:p w14:paraId="234F8870" w14:textId="77777777" w:rsidR="009705FC" w:rsidRPr="00EF27F0" w:rsidRDefault="00280DCA" w:rsidP="009705FC">
      <w:pPr>
        <w:widowControl w:val="0"/>
        <w:spacing w:line="360" w:lineRule="auto"/>
        <w:ind w:firstLine="31"/>
        <w:jc w:val="both"/>
        <w:rPr>
          <w:rFonts w:eastAsia="Courier New"/>
          <w:lang w:val="hr-HR" w:eastAsia="hr-HR" w:bidi="hr-HR"/>
        </w:rPr>
      </w:pPr>
      <w:r w:rsidRPr="00EF27F0">
        <w:tab/>
      </w:r>
      <w:r w:rsidR="009705FC" w:rsidRPr="00EF27F0">
        <w:rPr>
          <w:rFonts w:eastAsia="Courier New"/>
          <w:lang w:val="hr-HR" w:eastAsia="hr-HR" w:bidi="hr-HR"/>
        </w:rPr>
        <w:t xml:space="preserve">Nakon završenog studijskog programa II ciklusu studija historije kandidati će biti osposobljeni: </w:t>
      </w:r>
    </w:p>
    <w:p w14:paraId="42915CD0" w14:textId="3D1E12DD"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lastRenderedPageBreak/>
        <w:t xml:space="preserve">da samostalno rade na istraživanjima; </w:t>
      </w:r>
    </w:p>
    <w:p w14:paraId="3A27C223" w14:textId="694770A4"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t xml:space="preserve">da samostalno obrađuju historijsku građu; </w:t>
      </w:r>
    </w:p>
    <w:p w14:paraId="41FEBB16" w14:textId="77777777"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t>da samostalno prezentiraju historijske činjenice iz domena historije Bosne i Hercegovine;</w:t>
      </w:r>
    </w:p>
    <w:p w14:paraId="10D2CD67" w14:textId="029FA80D"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t xml:space="preserve">da kritički, pravilno i objektivno prosuđuju o pojedinim događajima i ličnostima; </w:t>
      </w:r>
    </w:p>
    <w:p w14:paraId="5BF11325" w14:textId="77777777"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t xml:space="preserve">da postupaju prema etičkim načelima struke; </w:t>
      </w:r>
    </w:p>
    <w:p w14:paraId="61409FA4" w14:textId="77777777"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t xml:space="preserve">da imaju pozitivan stav o cjeloživotnom učenju i razvoju stručnih kompetencija; </w:t>
      </w:r>
    </w:p>
    <w:p w14:paraId="7BC890D4" w14:textId="548DDC13" w:rsidR="009705FC" w:rsidRPr="00EF27F0" w:rsidRDefault="009705FC" w:rsidP="009705FC">
      <w:pPr>
        <w:pStyle w:val="ListParagraph"/>
        <w:widowControl w:val="0"/>
        <w:numPr>
          <w:ilvl w:val="0"/>
          <w:numId w:val="7"/>
        </w:numPr>
        <w:spacing w:line="360" w:lineRule="auto"/>
        <w:jc w:val="both"/>
        <w:rPr>
          <w:rFonts w:eastAsia="Courier New"/>
          <w:lang w:val="hr-HR" w:eastAsia="hr-HR" w:bidi="hr-HR"/>
        </w:rPr>
      </w:pPr>
      <w:r w:rsidRPr="00EF27F0">
        <w:rPr>
          <w:rFonts w:eastAsia="Courier New"/>
          <w:lang w:val="hr-HR" w:eastAsia="hr-HR" w:bidi="hr-HR"/>
        </w:rPr>
        <w:t xml:space="preserve">da se i dalje bave naučno-istraživačkim radom iz područja bosanskohercegovačke historije.  </w:t>
      </w:r>
    </w:p>
    <w:p w14:paraId="37D26CBE" w14:textId="77777777" w:rsidR="009705FC" w:rsidRPr="00EF27F0" w:rsidRDefault="009705FC" w:rsidP="009705FC">
      <w:pPr>
        <w:widowControl w:val="0"/>
        <w:spacing w:line="360" w:lineRule="auto"/>
        <w:jc w:val="both"/>
        <w:rPr>
          <w:rFonts w:eastAsia="Courier New"/>
          <w:lang w:val="hr-HR" w:eastAsia="hr-HR" w:bidi="hr-HR"/>
        </w:rPr>
      </w:pPr>
      <w:r w:rsidRPr="00EF27F0">
        <w:rPr>
          <w:rFonts w:eastAsia="Courier New"/>
          <w:lang w:val="hr-HR" w:eastAsia="hr-HR" w:bidi="hr-HR"/>
        </w:rPr>
        <w:t xml:space="preserve">Kandidati sa završenim II ciklusom studija - master struke/historije imat će mogućnost da se uposle: </w:t>
      </w:r>
    </w:p>
    <w:p w14:paraId="5C3E723E" w14:textId="7407AF7D" w:rsidR="009705FC" w:rsidRPr="00EF27F0" w:rsidRDefault="009705FC" w:rsidP="009705FC">
      <w:pPr>
        <w:pStyle w:val="ListParagraph"/>
        <w:widowControl w:val="0"/>
        <w:numPr>
          <w:ilvl w:val="0"/>
          <w:numId w:val="8"/>
        </w:numPr>
        <w:spacing w:line="360" w:lineRule="auto"/>
        <w:jc w:val="both"/>
        <w:rPr>
          <w:rFonts w:eastAsia="Courier New"/>
          <w:lang w:val="hr-HR" w:eastAsia="hr-HR" w:bidi="hr-HR"/>
        </w:rPr>
      </w:pPr>
      <w:r w:rsidRPr="00EF27F0">
        <w:rPr>
          <w:rFonts w:eastAsia="Courier New"/>
          <w:lang w:val="hr-HR" w:eastAsia="hr-HR" w:bidi="hr-HR"/>
        </w:rPr>
        <w:t xml:space="preserve">u osnovnim i srednjim školama kao nastavnici historije; </w:t>
      </w:r>
    </w:p>
    <w:p w14:paraId="348C4135" w14:textId="77777777" w:rsidR="009705FC" w:rsidRPr="00EF27F0" w:rsidRDefault="009705FC" w:rsidP="009705FC">
      <w:pPr>
        <w:pStyle w:val="ListParagraph"/>
        <w:widowControl w:val="0"/>
        <w:numPr>
          <w:ilvl w:val="0"/>
          <w:numId w:val="8"/>
        </w:numPr>
        <w:spacing w:line="360" w:lineRule="auto"/>
        <w:jc w:val="both"/>
        <w:rPr>
          <w:rFonts w:eastAsia="Courier New"/>
          <w:lang w:val="hr-HR" w:eastAsia="hr-HR" w:bidi="hr-HR"/>
        </w:rPr>
      </w:pPr>
      <w:r w:rsidRPr="00EF27F0">
        <w:rPr>
          <w:rFonts w:eastAsia="Courier New"/>
          <w:lang w:val="hr-HR" w:eastAsia="hr-HR" w:bidi="hr-HR"/>
        </w:rPr>
        <w:t xml:space="preserve">na fakultetima i historijskim institututima kao mladi istraživači i naučnici; </w:t>
      </w:r>
    </w:p>
    <w:p w14:paraId="1A93356B" w14:textId="77777777" w:rsidR="009705FC" w:rsidRPr="00EF27F0" w:rsidRDefault="009705FC" w:rsidP="009705FC">
      <w:pPr>
        <w:pStyle w:val="ListParagraph"/>
        <w:widowControl w:val="0"/>
        <w:numPr>
          <w:ilvl w:val="0"/>
          <w:numId w:val="8"/>
        </w:numPr>
        <w:spacing w:line="360" w:lineRule="auto"/>
        <w:jc w:val="both"/>
        <w:rPr>
          <w:rFonts w:eastAsia="Courier New"/>
          <w:lang w:val="hr-HR" w:eastAsia="hr-HR" w:bidi="hr-HR"/>
        </w:rPr>
      </w:pPr>
      <w:r w:rsidRPr="00EF27F0">
        <w:rPr>
          <w:rFonts w:eastAsia="Courier New"/>
          <w:lang w:val="hr-HR" w:eastAsia="hr-HR" w:bidi="hr-HR"/>
        </w:rPr>
        <w:t xml:space="preserve">u muzejima kao kustosi i istraživači; </w:t>
      </w:r>
    </w:p>
    <w:p w14:paraId="43726623" w14:textId="77777777" w:rsidR="009705FC" w:rsidRPr="00EF27F0" w:rsidRDefault="009705FC" w:rsidP="009705FC">
      <w:pPr>
        <w:pStyle w:val="ListParagraph"/>
        <w:widowControl w:val="0"/>
        <w:numPr>
          <w:ilvl w:val="0"/>
          <w:numId w:val="8"/>
        </w:numPr>
        <w:spacing w:line="360" w:lineRule="auto"/>
        <w:jc w:val="both"/>
        <w:rPr>
          <w:rFonts w:eastAsia="Courier New"/>
          <w:lang w:val="hr-HR" w:eastAsia="hr-HR" w:bidi="hr-HR"/>
        </w:rPr>
      </w:pPr>
      <w:r w:rsidRPr="00EF27F0">
        <w:rPr>
          <w:rFonts w:eastAsia="Courier New"/>
          <w:lang w:val="hr-HR" w:eastAsia="hr-HR" w:bidi="hr-HR"/>
        </w:rPr>
        <w:t xml:space="preserve">u arhivima; </w:t>
      </w:r>
    </w:p>
    <w:p w14:paraId="6C27BFC8" w14:textId="77777777" w:rsidR="009705FC" w:rsidRPr="00EF27F0" w:rsidRDefault="009705FC" w:rsidP="009705FC">
      <w:pPr>
        <w:pStyle w:val="ListParagraph"/>
        <w:widowControl w:val="0"/>
        <w:numPr>
          <w:ilvl w:val="0"/>
          <w:numId w:val="8"/>
        </w:numPr>
        <w:spacing w:line="360" w:lineRule="auto"/>
        <w:jc w:val="both"/>
        <w:rPr>
          <w:rFonts w:eastAsia="Courier New"/>
          <w:lang w:val="hr-HR" w:eastAsia="hr-HR" w:bidi="hr-HR"/>
        </w:rPr>
      </w:pPr>
      <w:r w:rsidRPr="00EF27F0">
        <w:rPr>
          <w:rFonts w:eastAsia="Courier New"/>
          <w:lang w:val="hr-HR" w:eastAsia="hr-HR" w:bidi="hr-HR"/>
        </w:rPr>
        <w:t xml:space="preserve">u centrima kulture; </w:t>
      </w:r>
    </w:p>
    <w:p w14:paraId="582F1454" w14:textId="1C6214CF" w:rsidR="00280DCA" w:rsidRPr="00EF27F0" w:rsidRDefault="009705FC" w:rsidP="009705FC">
      <w:pPr>
        <w:pStyle w:val="ListParagraph"/>
        <w:widowControl w:val="0"/>
        <w:numPr>
          <w:ilvl w:val="0"/>
          <w:numId w:val="8"/>
        </w:numPr>
        <w:spacing w:line="360" w:lineRule="auto"/>
        <w:jc w:val="both"/>
      </w:pPr>
      <w:r w:rsidRPr="00EF27F0">
        <w:rPr>
          <w:rFonts w:eastAsia="Courier New"/>
          <w:lang w:val="hr-HR" w:eastAsia="hr-HR" w:bidi="hr-HR"/>
        </w:rPr>
        <w:t xml:space="preserve">u diplomatiji.  </w:t>
      </w:r>
    </w:p>
    <w:p w14:paraId="212BC644" w14:textId="77777777" w:rsidR="00280DCA" w:rsidRPr="00EF27F0" w:rsidRDefault="00280DCA" w:rsidP="00762CEB">
      <w:pPr>
        <w:pStyle w:val="NoSpacing"/>
        <w:suppressAutoHyphens w:val="0"/>
        <w:spacing w:line="360" w:lineRule="auto"/>
        <w:jc w:val="both"/>
        <w:rPr>
          <w:rFonts w:ascii="Cambria" w:hAnsi="Cambria"/>
          <w:lang w:val="bs-Latn-BA"/>
        </w:rPr>
      </w:pPr>
    </w:p>
    <w:p w14:paraId="2761D9D3" w14:textId="77777777" w:rsidR="00280DCA" w:rsidRPr="00EF27F0" w:rsidRDefault="00280DCA" w:rsidP="00762CEB">
      <w:pPr>
        <w:pStyle w:val="NoSpacing"/>
        <w:suppressAutoHyphens w:val="0"/>
        <w:spacing w:line="360" w:lineRule="auto"/>
        <w:jc w:val="both"/>
        <w:rPr>
          <w:rFonts w:ascii="Cambria" w:hAnsi="Cambria"/>
          <w:lang w:val="bs-Latn-BA"/>
        </w:rPr>
      </w:pPr>
    </w:p>
    <w:p w14:paraId="6FEE3330" w14:textId="181E3D9E" w:rsidR="00280DCA" w:rsidRPr="00EF27F0" w:rsidRDefault="00280DCA" w:rsidP="00EF27F0">
      <w:pPr>
        <w:pStyle w:val="NoSpacing"/>
        <w:numPr>
          <w:ilvl w:val="1"/>
          <w:numId w:val="2"/>
        </w:numPr>
        <w:spacing w:line="360" w:lineRule="auto"/>
        <w:jc w:val="both"/>
        <w:rPr>
          <w:rFonts w:ascii="Cambria" w:hAnsi="Cambria"/>
          <w:lang w:val="bs-Latn-BA"/>
        </w:rPr>
      </w:pPr>
      <w:r w:rsidRPr="00EF27F0">
        <w:rPr>
          <w:rFonts w:ascii="Cambria" w:hAnsi="Cambria"/>
          <w:b/>
          <w:sz w:val="24"/>
          <w:szCs w:val="24"/>
          <w:lang w:val="bs-Latn-BA"/>
        </w:rPr>
        <w:t>Uslovi upisa u slijedeći semestar, te način završetka studija</w:t>
      </w:r>
    </w:p>
    <w:p w14:paraId="202EB9D7" w14:textId="77777777" w:rsidR="00280DCA" w:rsidRPr="00EF27F0" w:rsidRDefault="00280DCA" w:rsidP="00762CEB">
      <w:pPr>
        <w:pStyle w:val="NoSpacing"/>
        <w:spacing w:line="360" w:lineRule="auto"/>
        <w:jc w:val="both"/>
        <w:rPr>
          <w:rFonts w:ascii="Cambria" w:hAnsi="Cambria"/>
          <w:lang w:val="bs-Latn-BA"/>
        </w:rPr>
      </w:pPr>
    </w:p>
    <w:p w14:paraId="3B9C3B42" w14:textId="77777777" w:rsidR="00280DCA" w:rsidRPr="00EF27F0" w:rsidRDefault="00280DCA" w:rsidP="00762CEB">
      <w:pPr>
        <w:pStyle w:val="NoSpacing"/>
        <w:spacing w:line="360" w:lineRule="auto"/>
        <w:jc w:val="both"/>
        <w:rPr>
          <w:rFonts w:ascii="Cambria" w:hAnsi="Cambria"/>
          <w:sz w:val="24"/>
          <w:szCs w:val="24"/>
          <w:lang w:val="bs-Latn-BA"/>
        </w:rPr>
      </w:pPr>
      <w:r w:rsidRPr="00EF27F0">
        <w:rPr>
          <w:rFonts w:ascii="Cambria" w:hAnsi="Cambria"/>
          <w:sz w:val="24"/>
          <w:szCs w:val="24"/>
          <w:lang w:val="bs-Latn-BA"/>
        </w:rPr>
        <w:tab/>
        <w:t xml:space="preserve">Student stiče pravo na upis u naredni semestar ukoliko je odslušao nastavu iz prvog semestra. Student koji obnavlja studijsku godinu obavezan je platiti naknadu za obavljanje ispita prilikom svakog ponovnog polaganja završnog ili popravnog ispita iz predmeta u godini koju obnavlja, u visini koju utvrdi Senat. </w:t>
      </w:r>
    </w:p>
    <w:p w14:paraId="739A17C2" w14:textId="77777777" w:rsidR="00280DCA" w:rsidRPr="00EF27F0" w:rsidRDefault="00280DCA" w:rsidP="00762CEB">
      <w:pPr>
        <w:pStyle w:val="NoSpacing"/>
        <w:spacing w:line="360" w:lineRule="auto"/>
        <w:jc w:val="both"/>
        <w:rPr>
          <w:rFonts w:ascii="Cambria" w:hAnsi="Cambria"/>
          <w:sz w:val="24"/>
          <w:szCs w:val="24"/>
          <w:lang w:val="bs-Latn-BA"/>
        </w:rPr>
      </w:pPr>
      <w:r w:rsidRPr="00EF27F0">
        <w:rPr>
          <w:rFonts w:ascii="Cambria" w:hAnsi="Cambria"/>
          <w:sz w:val="24"/>
          <w:szCs w:val="24"/>
          <w:lang w:val="bs-Latn-BA"/>
        </w:rPr>
        <w:t xml:space="preserve">Student koji obnavlja studijsku godinu, obavezan je prisustvovati realizaciji nastave samo iz nastavnih predmeta iz kojih nije izvršio utvrđene obaveze učešća u nastavi, odnosno nije ostvario pravo na potpis. </w:t>
      </w:r>
    </w:p>
    <w:p w14:paraId="798E63EF" w14:textId="77777777" w:rsidR="00280DCA" w:rsidRPr="00EF27F0" w:rsidRDefault="00280DCA" w:rsidP="00762CEB">
      <w:pPr>
        <w:pStyle w:val="NoSpacing"/>
        <w:spacing w:line="360" w:lineRule="auto"/>
        <w:jc w:val="both"/>
        <w:rPr>
          <w:rFonts w:ascii="Cambria" w:hAnsi="Cambria"/>
          <w:sz w:val="24"/>
          <w:szCs w:val="24"/>
          <w:lang w:val="bs-Latn-BA"/>
        </w:rPr>
      </w:pPr>
      <w:r w:rsidRPr="00EF27F0">
        <w:rPr>
          <w:rFonts w:ascii="Cambria" w:hAnsi="Cambria"/>
          <w:sz w:val="24"/>
          <w:szCs w:val="24"/>
          <w:lang w:val="bs-Latn-BA"/>
        </w:rPr>
        <w:t xml:space="preserve">Student završne godine studija, koji je ovjerio posljednji semestar, a nije odbranio završni magistarski rad, prelazi u status studenta apsolventa koji traje od prvog dana naredne akademske godine do kraja iste. U tom periodu ima pravo na obavljanje preostalih završnih ispita, u svakom kalendarskom mjesecu. </w:t>
      </w:r>
    </w:p>
    <w:p w14:paraId="669CCEC5" w14:textId="77777777" w:rsidR="00280DCA" w:rsidRPr="00EF27F0" w:rsidRDefault="00280DCA" w:rsidP="00762CEB">
      <w:pPr>
        <w:pStyle w:val="NoSpacing"/>
        <w:spacing w:line="360" w:lineRule="auto"/>
        <w:jc w:val="both"/>
        <w:rPr>
          <w:rFonts w:ascii="Cambria" w:hAnsi="Cambria"/>
          <w:color w:val="FF0000"/>
          <w:sz w:val="24"/>
          <w:szCs w:val="24"/>
          <w:lang w:val="bs-Latn-BA"/>
        </w:rPr>
      </w:pPr>
      <w:r w:rsidRPr="00EF27F0">
        <w:rPr>
          <w:rFonts w:ascii="Cambria" w:hAnsi="Cambria"/>
          <w:sz w:val="24"/>
          <w:szCs w:val="24"/>
          <w:lang w:val="bs-Latn-BA"/>
        </w:rPr>
        <w:lastRenderedPageBreak/>
        <w:t>O izvršavanju obaveza studenata iz svih oblika nastavnog rada vodi se jedinstvena evidencija za svaki nastavni predmet</w:t>
      </w:r>
      <w:r w:rsidRPr="00EF27F0">
        <w:rPr>
          <w:rFonts w:ascii="Cambria" w:hAnsi="Cambria"/>
          <w:color w:val="000000"/>
          <w:sz w:val="24"/>
          <w:szCs w:val="24"/>
          <w:lang w:val="bs-Latn-BA"/>
        </w:rPr>
        <w:t>.</w:t>
      </w:r>
    </w:p>
    <w:p w14:paraId="28B53AA7" w14:textId="77777777" w:rsidR="00280DCA" w:rsidRPr="00EF27F0" w:rsidRDefault="00280DCA" w:rsidP="00762CEB">
      <w:pPr>
        <w:pStyle w:val="NoSpacing"/>
        <w:spacing w:line="360" w:lineRule="auto"/>
        <w:jc w:val="both"/>
        <w:rPr>
          <w:rFonts w:ascii="Cambria" w:hAnsi="Cambria"/>
          <w:color w:val="000000"/>
          <w:sz w:val="24"/>
          <w:szCs w:val="24"/>
          <w:lang w:val="bs-Latn-BA"/>
        </w:rPr>
      </w:pPr>
      <w:r w:rsidRPr="00EF27F0">
        <w:rPr>
          <w:rFonts w:ascii="Cambria" w:hAnsi="Cambria"/>
          <w:color w:val="000000"/>
          <w:sz w:val="24"/>
          <w:szCs w:val="24"/>
          <w:lang w:val="bs-Latn-BA"/>
        </w:rPr>
        <w:t>Student na kraju studija piše završni magistarski rad te ga javno brani.</w:t>
      </w:r>
    </w:p>
    <w:p w14:paraId="4B97DF66" w14:textId="416B8C4A" w:rsidR="00280DCA" w:rsidRPr="00EF27F0" w:rsidRDefault="00280DCA" w:rsidP="00762CEB">
      <w:pPr>
        <w:pStyle w:val="NoSpacing"/>
        <w:spacing w:line="360" w:lineRule="auto"/>
        <w:jc w:val="both"/>
        <w:rPr>
          <w:rFonts w:ascii="Cambria" w:hAnsi="Cambria"/>
          <w:color w:val="000000"/>
          <w:sz w:val="24"/>
          <w:szCs w:val="24"/>
          <w:lang w:val="bs-Latn-BA"/>
        </w:rPr>
      </w:pPr>
    </w:p>
    <w:p w14:paraId="7F0674D2" w14:textId="4F8AA0B0" w:rsidR="00280DCA" w:rsidRPr="00EF27F0" w:rsidRDefault="00280DCA" w:rsidP="00EF27F0">
      <w:pPr>
        <w:pStyle w:val="NoSpacing"/>
        <w:numPr>
          <w:ilvl w:val="1"/>
          <w:numId w:val="2"/>
        </w:numPr>
        <w:spacing w:line="360" w:lineRule="auto"/>
        <w:jc w:val="both"/>
        <w:rPr>
          <w:rFonts w:ascii="Cambria" w:hAnsi="Cambria"/>
          <w:lang w:val="bs-Latn-BA"/>
        </w:rPr>
      </w:pPr>
      <w:r w:rsidRPr="00EF27F0">
        <w:rPr>
          <w:rFonts w:ascii="Cambria" w:hAnsi="Cambria"/>
          <w:b/>
          <w:sz w:val="24"/>
          <w:szCs w:val="24"/>
          <w:lang w:val="bs-Latn-BA"/>
        </w:rPr>
        <w:t>Uslovi prelaska sa drugih studijskih programa u okviru istih ili srodnih oblasti studija</w:t>
      </w:r>
    </w:p>
    <w:p w14:paraId="35BCA46F" w14:textId="77777777" w:rsidR="00280DCA" w:rsidRPr="00EF27F0" w:rsidRDefault="00280DCA" w:rsidP="00762CEB">
      <w:pPr>
        <w:pStyle w:val="NoSpacing"/>
        <w:spacing w:line="360" w:lineRule="auto"/>
        <w:jc w:val="both"/>
        <w:rPr>
          <w:rFonts w:ascii="Cambria" w:hAnsi="Cambria"/>
          <w:lang w:val="bs-Latn-BA"/>
        </w:rPr>
      </w:pPr>
    </w:p>
    <w:p w14:paraId="20FD11D0" w14:textId="77777777" w:rsidR="00280DCA" w:rsidRPr="00EF27F0" w:rsidRDefault="00280DCA" w:rsidP="00762CEB">
      <w:pPr>
        <w:spacing w:line="360" w:lineRule="auto"/>
        <w:jc w:val="both"/>
      </w:pPr>
      <w:r w:rsidRPr="00EF27F0">
        <w:tab/>
        <w:t xml:space="preserve">Studentu drugog Univerziteta može se omogućiti prelazak sa </w:t>
      </w:r>
      <w:r w:rsidRPr="00EF27F0">
        <w:rPr>
          <w:b/>
        </w:rPr>
        <w:t>istorodnih</w:t>
      </w:r>
      <w:r w:rsidRPr="00EF27F0">
        <w:t xml:space="preserve"> akreditovanih studijskih programa na studijski program Filozofskog faklulteta Univerziteta u Tuzli  pod uslovima i postupku utvrđenim Pravilima studiranja na II ciklusu studija na Univerzitetu u Tuzli. </w:t>
      </w:r>
    </w:p>
    <w:p w14:paraId="27A12A16" w14:textId="0EB29F03" w:rsidR="00280DCA" w:rsidRPr="00EF27F0" w:rsidRDefault="00280DCA" w:rsidP="00762CEB">
      <w:pPr>
        <w:spacing w:line="360" w:lineRule="auto"/>
        <w:jc w:val="both"/>
      </w:pPr>
      <w:r w:rsidRPr="00EF27F0">
        <w:tab/>
        <w:t xml:space="preserve">Pod </w:t>
      </w:r>
      <w:r w:rsidRPr="00EF27F0">
        <w:rPr>
          <w:b/>
        </w:rPr>
        <w:t>istorodnim</w:t>
      </w:r>
      <w:r w:rsidRPr="00EF27F0">
        <w:t xml:space="preserve"> studijskim programom smatra se</w:t>
      </w:r>
      <w:r w:rsidRPr="00EF27F0">
        <w:rPr>
          <w:b/>
        </w:rPr>
        <w:t xml:space="preserve"> </w:t>
      </w:r>
      <w:r w:rsidRPr="00EF27F0">
        <w:t xml:space="preserve">studij </w:t>
      </w:r>
      <w:r w:rsidR="00A549D5" w:rsidRPr="00094756">
        <w:t>historije</w:t>
      </w:r>
      <w:r w:rsidRPr="00EF27F0">
        <w:t>. Student može izvršiti prelazak sa drugog javnog univerziteta pod uslovima i na način utvrđen Pravilima studiranja na II ciklusu studija na Univerzitetu u Tuzli.</w:t>
      </w:r>
    </w:p>
    <w:p w14:paraId="6CD85971" w14:textId="77777777" w:rsidR="00280DCA" w:rsidRPr="00EF27F0" w:rsidRDefault="00280DCA" w:rsidP="00762CEB">
      <w:pPr>
        <w:spacing w:line="360" w:lineRule="auto"/>
        <w:jc w:val="both"/>
      </w:pPr>
      <w:r w:rsidRPr="00EF27F0">
        <w:t>Studentu Univerziteta se može omogućiti prelazak sa jednog studijskog programa na drugi studijski program pod uslovima i postupku utvrđenim Pravilima studiranja na II ciklusu studija na Univerzitetu u Tuzli.</w:t>
      </w:r>
    </w:p>
    <w:p w14:paraId="42EC40E2" w14:textId="77777777" w:rsidR="00280DCA" w:rsidRPr="00EF27F0" w:rsidRDefault="00280DCA" w:rsidP="00762CEB">
      <w:pPr>
        <w:pStyle w:val="NoSpacing"/>
        <w:spacing w:line="360" w:lineRule="auto"/>
        <w:jc w:val="both"/>
        <w:rPr>
          <w:rFonts w:ascii="Cambria" w:hAnsi="Cambria"/>
          <w:lang w:val="bs-Latn-BA"/>
        </w:rPr>
      </w:pPr>
    </w:p>
    <w:p w14:paraId="7C81E940" w14:textId="77777777" w:rsidR="00280DCA" w:rsidRPr="00EF27F0" w:rsidRDefault="00280DCA" w:rsidP="00762CEB">
      <w:pPr>
        <w:spacing w:line="360" w:lineRule="auto"/>
        <w:jc w:val="both"/>
      </w:pPr>
    </w:p>
    <w:p w14:paraId="2BA6F44A" w14:textId="77777777" w:rsidR="00A85CC6" w:rsidRPr="00EF27F0" w:rsidRDefault="00A85CC6" w:rsidP="00762CEB"/>
    <w:sectPr w:rsidR="00A85CC6" w:rsidRPr="00EF27F0" w:rsidSect="00FC6B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13E05"/>
    <w:multiLevelType w:val="hybridMultilevel"/>
    <w:tmpl w:val="0FCEC23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0A6C0926"/>
    <w:multiLevelType w:val="hybridMultilevel"/>
    <w:tmpl w:val="5726AF1E"/>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C031A2B"/>
    <w:multiLevelType w:val="multilevel"/>
    <w:tmpl w:val="20D0232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lvlText w:val="%1.%2."/>
      <w:lvlJc w:val="left"/>
      <w:pPr>
        <w:ind w:left="502" w:hanging="360"/>
      </w:pPr>
      <w:rPr>
        <w:rFonts w:ascii="Cambria" w:hAnsi="Cambria" w:cs="Times New Roman" w:hint="default"/>
        <w:b/>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6FC25F6"/>
    <w:multiLevelType w:val="multilevel"/>
    <w:tmpl w:val="EAA449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2660D1"/>
    <w:multiLevelType w:val="hybridMultilevel"/>
    <w:tmpl w:val="5B2E7D68"/>
    <w:lvl w:ilvl="0" w:tplc="6E60D56E">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42585AB9"/>
    <w:multiLevelType w:val="hybridMultilevel"/>
    <w:tmpl w:val="82BA8544"/>
    <w:lvl w:ilvl="0" w:tplc="141A0001">
      <w:start w:val="1"/>
      <w:numFmt w:val="bullet"/>
      <w:lvlText w:val=""/>
      <w:lvlJc w:val="left"/>
      <w:pPr>
        <w:ind w:left="751" w:hanging="360"/>
      </w:pPr>
      <w:rPr>
        <w:rFonts w:ascii="Symbol" w:hAnsi="Symbol" w:hint="default"/>
      </w:rPr>
    </w:lvl>
    <w:lvl w:ilvl="1" w:tplc="141A0003" w:tentative="1">
      <w:start w:val="1"/>
      <w:numFmt w:val="bullet"/>
      <w:lvlText w:val="o"/>
      <w:lvlJc w:val="left"/>
      <w:pPr>
        <w:ind w:left="1471" w:hanging="360"/>
      </w:pPr>
      <w:rPr>
        <w:rFonts w:ascii="Courier New" w:hAnsi="Courier New" w:cs="Courier New" w:hint="default"/>
      </w:rPr>
    </w:lvl>
    <w:lvl w:ilvl="2" w:tplc="141A0005" w:tentative="1">
      <w:start w:val="1"/>
      <w:numFmt w:val="bullet"/>
      <w:lvlText w:val=""/>
      <w:lvlJc w:val="left"/>
      <w:pPr>
        <w:ind w:left="2191" w:hanging="360"/>
      </w:pPr>
      <w:rPr>
        <w:rFonts w:ascii="Wingdings" w:hAnsi="Wingdings" w:hint="default"/>
      </w:rPr>
    </w:lvl>
    <w:lvl w:ilvl="3" w:tplc="141A0001" w:tentative="1">
      <w:start w:val="1"/>
      <w:numFmt w:val="bullet"/>
      <w:lvlText w:val=""/>
      <w:lvlJc w:val="left"/>
      <w:pPr>
        <w:ind w:left="2911" w:hanging="360"/>
      </w:pPr>
      <w:rPr>
        <w:rFonts w:ascii="Symbol" w:hAnsi="Symbol" w:hint="default"/>
      </w:rPr>
    </w:lvl>
    <w:lvl w:ilvl="4" w:tplc="141A0003" w:tentative="1">
      <w:start w:val="1"/>
      <w:numFmt w:val="bullet"/>
      <w:lvlText w:val="o"/>
      <w:lvlJc w:val="left"/>
      <w:pPr>
        <w:ind w:left="3631" w:hanging="360"/>
      </w:pPr>
      <w:rPr>
        <w:rFonts w:ascii="Courier New" w:hAnsi="Courier New" w:cs="Courier New" w:hint="default"/>
      </w:rPr>
    </w:lvl>
    <w:lvl w:ilvl="5" w:tplc="141A0005" w:tentative="1">
      <w:start w:val="1"/>
      <w:numFmt w:val="bullet"/>
      <w:lvlText w:val=""/>
      <w:lvlJc w:val="left"/>
      <w:pPr>
        <w:ind w:left="4351" w:hanging="360"/>
      </w:pPr>
      <w:rPr>
        <w:rFonts w:ascii="Wingdings" w:hAnsi="Wingdings" w:hint="default"/>
      </w:rPr>
    </w:lvl>
    <w:lvl w:ilvl="6" w:tplc="141A0001" w:tentative="1">
      <w:start w:val="1"/>
      <w:numFmt w:val="bullet"/>
      <w:lvlText w:val=""/>
      <w:lvlJc w:val="left"/>
      <w:pPr>
        <w:ind w:left="5071" w:hanging="360"/>
      </w:pPr>
      <w:rPr>
        <w:rFonts w:ascii="Symbol" w:hAnsi="Symbol" w:hint="default"/>
      </w:rPr>
    </w:lvl>
    <w:lvl w:ilvl="7" w:tplc="141A0003" w:tentative="1">
      <w:start w:val="1"/>
      <w:numFmt w:val="bullet"/>
      <w:lvlText w:val="o"/>
      <w:lvlJc w:val="left"/>
      <w:pPr>
        <w:ind w:left="5791" w:hanging="360"/>
      </w:pPr>
      <w:rPr>
        <w:rFonts w:ascii="Courier New" w:hAnsi="Courier New" w:cs="Courier New" w:hint="default"/>
      </w:rPr>
    </w:lvl>
    <w:lvl w:ilvl="8" w:tplc="141A0005" w:tentative="1">
      <w:start w:val="1"/>
      <w:numFmt w:val="bullet"/>
      <w:lvlText w:val=""/>
      <w:lvlJc w:val="left"/>
      <w:pPr>
        <w:ind w:left="6511" w:hanging="360"/>
      </w:pPr>
      <w:rPr>
        <w:rFonts w:ascii="Wingdings" w:hAnsi="Wingdings" w:hint="default"/>
      </w:rPr>
    </w:lvl>
  </w:abstractNum>
  <w:abstractNum w:abstractNumId="6" w15:restartNumberingAfterBreak="0">
    <w:nsid w:val="4C6D279A"/>
    <w:multiLevelType w:val="multilevel"/>
    <w:tmpl w:val="EF6EFA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C862BE"/>
    <w:multiLevelType w:val="hybridMultilevel"/>
    <w:tmpl w:val="CAD876D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15:restartNumberingAfterBreak="0">
    <w:nsid w:val="770A115B"/>
    <w:multiLevelType w:val="multilevel"/>
    <w:tmpl w:val="F44C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3"/>
  </w:num>
  <w:num w:numId="5">
    <w:abstractNumId w:val="8"/>
  </w:num>
  <w:num w:numId="6">
    <w:abstractNumId w:val="4"/>
  </w:num>
  <w:num w:numId="7">
    <w:abstractNumId w:val="5"/>
  </w:num>
  <w:num w:numId="8">
    <w:abstractNumId w:val="0"/>
  </w:num>
  <w:num w:numId="9">
    <w:abstractNumId w:val="1"/>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czM7Q0NrQ0sjAwMjdV0lEKTi0uzszPAykwqQUA36Ty4iwAAAA="/>
  </w:docVars>
  <w:rsids>
    <w:rsidRoot w:val="00280DCA"/>
    <w:rsid w:val="00003790"/>
    <w:rsid w:val="00094756"/>
    <w:rsid w:val="000D4001"/>
    <w:rsid w:val="00121698"/>
    <w:rsid w:val="002216D6"/>
    <w:rsid w:val="002271E2"/>
    <w:rsid w:val="00280DCA"/>
    <w:rsid w:val="00386912"/>
    <w:rsid w:val="005D26B9"/>
    <w:rsid w:val="005F68F5"/>
    <w:rsid w:val="00602DE8"/>
    <w:rsid w:val="00762CEB"/>
    <w:rsid w:val="009705FC"/>
    <w:rsid w:val="00A02541"/>
    <w:rsid w:val="00A549D5"/>
    <w:rsid w:val="00A85CC6"/>
    <w:rsid w:val="00B24DAE"/>
    <w:rsid w:val="00C12D4C"/>
    <w:rsid w:val="00D12FF8"/>
    <w:rsid w:val="00E50D98"/>
    <w:rsid w:val="00EA30D0"/>
    <w:rsid w:val="00EB4920"/>
    <w:rsid w:val="00EF27F0"/>
    <w:rsid w:val="00FC5C23"/>
    <w:rsid w:val="00FC6B9C"/>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C67B6"/>
  <w15:chartTrackingRefBased/>
  <w15:docId w15:val="{9D995414-F025-4F96-B156-67B3A8AE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CEB"/>
    <w:pPr>
      <w:tabs>
        <w:tab w:val="left" w:pos="708"/>
      </w:tabs>
      <w:suppressAutoHyphens/>
      <w:spacing w:after="0" w:line="240" w:lineRule="auto"/>
    </w:pPr>
    <w:rPr>
      <w:rFonts w:ascii="Cambria" w:eastAsia="Times New Roman" w:hAnsi="Cambria" w:cs="Times New Roman"/>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0DCA"/>
    <w:pPr>
      <w:tabs>
        <w:tab w:val="left" w:pos="708"/>
      </w:tabs>
      <w:suppressAutoHyphens/>
      <w:spacing w:after="0" w:line="100" w:lineRule="atLeast"/>
    </w:pPr>
    <w:rPr>
      <w:rFonts w:ascii="Calibri" w:eastAsia="Calibri" w:hAnsi="Calibri" w:cs="Times New Roman"/>
      <w:lang w:val="en-US" w:eastAsia="ar-SA"/>
    </w:rPr>
  </w:style>
  <w:style w:type="paragraph" w:styleId="ListParagraph">
    <w:name w:val="List Paragraph"/>
    <w:basedOn w:val="Normal"/>
    <w:uiPriority w:val="34"/>
    <w:qFormat/>
    <w:rsid w:val="00280DC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520868">
      <w:bodyDiv w:val="1"/>
      <w:marLeft w:val="0"/>
      <w:marRight w:val="0"/>
      <w:marTop w:val="0"/>
      <w:marBottom w:val="0"/>
      <w:divBdr>
        <w:top w:val="none" w:sz="0" w:space="0" w:color="auto"/>
        <w:left w:val="none" w:sz="0" w:space="0" w:color="auto"/>
        <w:bottom w:val="none" w:sz="0" w:space="0" w:color="auto"/>
        <w:right w:val="none" w:sz="0" w:space="0" w:color="auto"/>
      </w:divBdr>
    </w:div>
    <w:div w:id="851335170">
      <w:bodyDiv w:val="1"/>
      <w:marLeft w:val="0"/>
      <w:marRight w:val="0"/>
      <w:marTop w:val="0"/>
      <w:marBottom w:val="0"/>
      <w:divBdr>
        <w:top w:val="none" w:sz="0" w:space="0" w:color="auto"/>
        <w:left w:val="none" w:sz="0" w:space="0" w:color="auto"/>
        <w:bottom w:val="none" w:sz="0" w:space="0" w:color="auto"/>
        <w:right w:val="none" w:sz="0" w:space="0" w:color="auto"/>
      </w:divBdr>
    </w:div>
    <w:div w:id="1308784315">
      <w:bodyDiv w:val="1"/>
      <w:marLeft w:val="0"/>
      <w:marRight w:val="0"/>
      <w:marTop w:val="0"/>
      <w:marBottom w:val="0"/>
      <w:divBdr>
        <w:top w:val="none" w:sz="0" w:space="0" w:color="auto"/>
        <w:left w:val="none" w:sz="0" w:space="0" w:color="auto"/>
        <w:bottom w:val="none" w:sz="0" w:space="0" w:color="auto"/>
        <w:right w:val="none" w:sz="0" w:space="0" w:color="auto"/>
      </w:divBdr>
    </w:div>
    <w:div w:id="1511141615">
      <w:bodyDiv w:val="1"/>
      <w:marLeft w:val="0"/>
      <w:marRight w:val="0"/>
      <w:marTop w:val="0"/>
      <w:marBottom w:val="0"/>
      <w:divBdr>
        <w:top w:val="none" w:sz="0" w:space="0" w:color="auto"/>
        <w:left w:val="none" w:sz="0" w:space="0" w:color="auto"/>
        <w:bottom w:val="none" w:sz="0" w:space="0" w:color="auto"/>
        <w:right w:val="none" w:sz="0" w:space="0" w:color="auto"/>
      </w:divBdr>
    </w:div>
    <w:div w:id="19807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11</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HP</cp:lastModifiedBy>
  <cp:revision>18</cp:revision>
  <cp:lastPrinted>2023-05-04T08:23:00Z</cp:lastPrinted>
  <dcterms:created xsi:type="dcterms:W3CDTF">2023-04-14T11:46:00Z</dcterms:created>
  <dcterms:modified xsi:type="dcterms:W3CDTF">2023-05-11T07:39:00Z</dcterms:modified>
</cp:coreProperties>
</file>